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0A" w:rsidRPr="00B4640F" w:rsidRDefault="004F050A" w:rsidP="004C425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l-GR"/>
        </w:rPr>
      </w:pPr>
    </w:p>
    <w:p w:rsidR="00C65344" w:rsidRPr="00B4640F" w:rsidRDefault="00C65344">
      <w:pPr>
        <w:rPr>
          <w:rFonts w:ascii="Arial" w:hAnsi="Arial" w:cs="Arial"/>
          <w:color w:val="FF0000"/>
          <w:sz w:val="20"/>
          <w:szCs w:val="20"/>
          <w:lang w:val="el-GR"/>
        </w:rPr>
      </w:pPr>
    </w:p>
    <w:p w:rsidR="005F4759" w:rsidRPr="00B4640F" w:rsidRDefault="005F4759" w:rsidP="005F4759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DD1CB8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845593" w:rsidRPr="00DD1CB8" w:rsidRDefault="00845593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F1F14" w:rsidRDefault="00BF1F14" w:rsidP="00BF1F14">
      <w:pPr>
        <w:pStyle w:val="a3"/>
        <w:jc w:val="center"/>
        <w:rPr>
          <w:rFonts w:asciiTheme="minorHAnsi" w:hAnsiTheme="minorHAnsi" w:cstheme="minorHAnsi"/>
          <w:szCs w:val="20"/>
          <w:lang w:val="en-US"/>
        </w:rPr>
      </w:pPr>
      <w:r w:rsidRPr="00BF1F14">
        <w:rPr>
          <w:rFonts w:asciiTheme="minorHAnsi" w:hAnsiTheme="minorHAnsi" w:cstheme="minorHAnsi"/>
          <w:szCs w:val="20"/>
          <w:lang w:val="en-US"/>
        </w:rPr>
        <w:t>2015</w:t>
      </w:r>
    </w:p>
    <w:p w:rsidR="00BF1F14" w:rsidRPr="00BF1F14" w:rsidRDefault="00BF1F14" w:rsidP="005F4759">
      <w:pPr>
        <w:pStyle w:val="a3"/>
        <w:jc w:val="both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9B3DC6" w:rsidRDefault="005F4759" w:rsidP="005F4759">
      <w:pPr>
        <w:pStyle w:val="a3"/>
        <w:jc w:val="center"/>
        <w:rPr>
          <w:rFonts w:asciiTheme="minorHAnsi" w:hAnsiTheme="minorHAnsi" w:cstheme="minorHAnsi"/>
          <w:szCs w:val="20"/>
        </w:rPr>
      </w:pPr>
      <w:r w:rsidRPr="009B3DC6">
        <w:rPr>
          <w:rFonts w:asciiTheme="minorHAnsi" w:hAnsiTheme="minorHAnsi" w:cstheme="minorHAnsi"/>
          <w:szCs w:val="20"/>
        </w:rPr>
        <w:t>ΠΡΩΙΝΗ ΕΞΕΤΑΣΗ (09:00 – 11:00)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br w:type="page"/>
      </w:r>
    </w:p>
    <w:p w:rsidR="009B3DC6" w:rsidRPr="009B3DC6" w:rsidRDefault="009B3DC6" w:rsidP="009B3DC6">
      <w:pPr>
        <w:pStyle w:val="ac"/>
        <w:spacing w:after="120" w:line="276" w:lineRule="auto"/>
        <w:ind w:left="357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16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Σε συνταξιοδοτικό σχήμα όπου εφαρμόζεται η FIL (</w:t>
      </w:r>
      <w:proofErr w:type="spellStart"/>
      <w:r w:rsidRPr="00B4640F">
        <w:rPr>
          <w:rFonts w:asciiTheme="minorHAnsi" w:hAnsiTheme="minorHAnsi" w:cstheme="minorHAnsi"/>
          <w:lang w:val="el-GR"/>
        </w:rPr>
        <w:t>Entry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Age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Normal</w:t>
      </w:r>
      <w:proofErr w:type="spellEnd"/>
      <w:r w:rsidRPr="00B4640F">
        <w:rPr>
          <w:rFonts w:asciiTheme="minorHAnsi" w:hAnsiTheme="minorHAnsi" w:cstheme="minorHAnsi"/>
          <w:lang w:val="el-GR"/>
        </w:rPr>
        <w:t>) με παροχή ίση προς το 50% του τελικού μισθού, κατά την 1/1/t η παρούσα αξία του μελλοντικού μισθολογίου ισούται προς €2.500.000 το κανονικό κόστος προς €15.000 και το ετήσιο μισθολόγιο προς €200.000. Διαπιστώνεται αμέσως μετά την αποτίμηση ότι κάποιος εργαζόμενος με ετήσιες αποδοχές €30.000 παραλήφθηκε και υπολογίζονται γι’ αυτόν η παρούσα αξία των μελλοντικών του παροχών ίση προς €39.000 και η παρούσα αξία του μελλοντικού του μισθολογίου ίση προς €850.000. Το αναθεωρημένο κανονικό κόστος την 1/1/t</w:t>
      </w:r>
      <w:r w:rsidRPr="00B4640F">
        <w:rPr>
          <w:rFonts w:asciiTheme="minorHAnsi" w:hAnsiTheme="minorHAnsi" w:cstheme="minorHAnsi"/>
          <w:lang w:val="en-US"/>
        </w:rPr>
        <w:t xml:space="preserve"> </w:t>
      </w:r>
      <w:r w:rsidRPr="00B4640F">
        <w:rPr>
          <w:rFonts w:asciiTheme="minorHAnsi" w:hAnsiTheme="minorHAnsi" w:cstheme="minorHAnsi"/>
          <w:lang w:val="el-GR"/>
        </w:rPr>
        <w:t>ισούται προς:</w:t>
      </w:r>
    </w:p>
    <w:p w:rsidR="005F4759" w:rsidRPr="00B4640F" w:rsidRDefault="005F4759" w:rsidP="005F4759">
      <w:pPr>
        <w:pStyle w:val="ac"/>
        <w:spacing w:after="120"/>
        <w:ind w:left="1077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numPr>
          <w:ilvl w:val="0"/>
          <w:numId w:val="1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>€</w:t>
      </w:r>
      <w:r w:rsidRPr="00B4640F">
        <w:rPr>
          <w:rFonts w:asciiTheme="minorHAnsi" w:hAnsiTheme="minorHAnsi" w:cstheme="minorHAnsi"/>
          <w:lang w:val="el-GR"/>
        </w:rPr>
        <w:t xml:space="preserve"> 12.873</w:t>
      </w:r>
    </w:p>
    <w:p w:rsidR="005F4759" w:rsidRPr="00B4640F" w:rsidRDefault="005F4759" w:rsidP="005F4759">
      <w:pPr>
        <w:pStyle w:val="ac"/>
        <w:numPr>
          <w:ilvl w:val="0"/>
          <w:numId w:val="1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>€</w:t>
      </w:r>
      <w:r w:rsidRPr="00B4640F">
        <w:rPr>
          <w:rFonts w:asciiTheme="minorHAnsi" w:hAnsiTheme="minorHAnsi" w:cstheme="minorHAnsi"/>
          <w:lang w:val="el-GR"/>
        </w:rPr>
        <w:t xml:space="preserve"> 18.120</w:t>
      </w:r>
    </w:p>
    <w:p w:rsidR="005F4759" w:rsidRPr="00B4640F" w:rsidRDefault="005F4759" w:rsidP="005F4759">
      <w:pPr>
        <w:pStyle w:val="ac"/>
        <w:numPr>
          <w:ilvl w:val="0"/>
          <w:numId w:val="1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>€</w:t>
      </w:r>
      <w:r w:rsidRPr="00B4640F">
        <w:rPr>
          <w:rFonts w:asciiTheme="minorHAnsi" w:hAnsiTheme="minorHAnsi" w:cstheme="minorHAnsi"/>
          <w:lang w:val="el-GR"/>
        </w:rPr>
        <w:t xml:space="preserve"> 15.551</w:t>
      </w:r>
    </w:p>
    <w:p w:rsidR="005F4759" w:rsidRPr="00B4640F" w:rsidRDefault="005F4759" w:rsidP="005F4759">
      <w:pPr>
        <w:pStyle w:val="ac"/>
        <w:numPr>
          <w:ilvl w:val="0"/>
          <w:numId w:val="1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>€</w:t>
      </w:r>
      <w:r w:rsidRPr="00B4640F">
        <w:rPr>
          <w:rFonts w:asciiTheme="minorHAnsi" w:hAnsiTheme="minorHAnsi" w:cstheme="minorHAnsi"/>
          <w:lang w:val="el-GR"/>
        </w:rPr>
        <w:t xml:space="preserve"> 17.250</w:t>
      </w:r>
    </w:p>
    <w:p w:rsidR="005F4759" w:rsidRPr="00B4640F" w:rsidRDefault="005F4759" w:rsidP="005F4759">
      <w:pPr>
        <w:pStyle w:val="ac"/>
        <w:numPr>
          <w:ilvl w:val="0"/>
          <w:numId w:val="18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>€</w:t>
      </w:r>
      <w:r w:rsidRPr="00B4640F">
        <w:rPr>
          <w:rFonts w:asciiTheme="minorHAnsi" w:hAnsiTheme="minorHAnsi" w:cstheme="minorHAnsi"/>
          <w:lang w:val="el-GR"/>
        </w:rPr>
        <w:t xml:space="preserve"> 16.376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Ποιο από τα παρακάτω δεν αληθεύει;</w:t>
      </w:r>
    </w:p>
    <w:p w:rsidR="005F4759" w:rsidRPr="00B4640F" w:rsidRDefault="005F4759" w:rsidP="005F4759">
      <w:pPr>
        <w:pStyle w:val="ac"/>
        <w:spacing w:after="120"/>
        <w:ind w:left="357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spacing w:after="120"/>
        <w:ind w:left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Ι. Η αναλογιστική υποχρέωση ισούται με την αναλογιστική συσσώρευση του κόστους όλων των προηγουμένων ετών δεδομένου ότι έχουν επαληθευτεί όλες οι υποθέσεις. </w:t>
      </w:r>
    </w:p>
    <w:p w:rsidR="005F4759" w:rsidRPr="00B4640F" w:rsidRDefault="005F4759" w:rsidP="005F4759">
      <w:pPr>
        <w:pStyle w:val="ac"/>
        <w:spacing w:after="120"/>
        <w:ind w:left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ΙΙ. Η παρούσα αξία των παροχών ισούται με το άθροισμα της αναλογιστικής υποχρέωσης και της παρούσας αξίας του μελλοντικού κόστους.</w:t>
      </w:r>
    </w:p>
    <w:p w:rsidR="005F4759" w:rsidRPr="00B4640F" w:rsidRDefault="005F4759" w:rsidP="005F4759">
      <w:pPr>
        <w:pStyle w:val="ac"/>
        <w:spacing w:after="120"/>
        <w:ind w:left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ΙΙΙ. Σε ένα πλήρως χρηματοδοτημένο συνταξιοδοτικό σχήμα, η αναλογιστική υποχρέωση ισούται πάντα προς την παρούσα αξία των παροχών.</w:t>
      </w:r>
    </w:p>
    <w:p w:rsidR="005F4759" w:rsidRPr="00B4640F" w:rsidRDefault="005F4759" w:rsidP="005F4759">
      <w:pPr>
        <w:pStyle w:val="ac"/>
        <w:spacing w:after="120"/>
        <w:ind w:left="357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41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Ι</w:t>
      </w:r>
    </w:p>
    <w:p w:rsidR="005F4759" w:rsidRPr="00B4640F" w:rsidRDefault="005F4759" w:rsidP="005F4759">
      <w:pPr>
        <w:pStyle w:val="ac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ΙΙ</w:t>
      </w:r>
    </w:p>
    <w:p w:rsidR="005F4759" w:rsidRPr="00B4640F" w:rsidRDefault="005F4759" w:rsidP="005F4759">
      <w:pPr>
        <w:pStyle w:val="ac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ΙΙΙ</w:t>
      </w:r>
    </w:p>
    <w:p w:rsidR="005F4759" w:rsidRPr="00B4640F" w:rsidRDefault="005F4759" w:rsidP="005F4759">
      <w:pPr>
        <w:pStyle w:val="ac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Το Ι  και το ΙΙΙ </w:t>
      </w:r>
    </w:p>
    <w:p w:rsidR="005F4759" w:rsidRPr="00B4640F" w:rsidRDefault="005F4759" w:rsidP="005F4759">
      <w:pPr>
        <w:pStyle w:val="ac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Το ΙΙ και το ΙΙΙ</w:t>
      </w:r>
    </w:p>
    <w:p w:rsidR="002A2521" w:rsidRPr="00B4640F" w:rsidRDefault="002A2521">
      <w:p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B4640F">
        <w:rPr>
          <w:rFonts w:asciiTheme="minorHAnsi" w:hAnsiTheme="minorHAnsi" w:cstheme="minorHAnsi"/>
          <w:sz w:val="20"/>
          <w:szCs w:val="20"/>
          <w:lang w:val="en-US"/>
        </w:rPr>
        <w:br w:type="page"/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n-US"/>
        </w:rPr>
      </w:pPr>
    </w:p>
    <w:p w:rsidR="005F4759" w:rsidRPr="004C44FA" w:rsidRDefault="005F4759" w:rsidP="004C44FA">
      <w:pPr>
        <w:pStyle w:val="ac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4C44FA">
        <w:rPr>
          <w:rFonts w:asciiTheme="minorHAnsi" w:hAnsiTheme="minorHAnsi" w:cstheme="minorHAnsi"/>
          <w:lang w:val="el-GR"/>
        </w:rPr>
        <w:t xml:space="preserve">Με βάση τα μεγέθη στον παρακάτω πίνακα που αφορούν σε ασφαλιστικό ταμείο, </w:t>
      </w:r>
    </w:p>
    <w:tbl>
      <w:tblPr>
        <w:tblStyle w:val="a7"/>
        <w:tblW w:w="0" w:type="auto"/>
        <w:tblInd w:w="744" w:type="dxa"/>
        <w:tblLook w:val="04A0"/>
      </w:tblPr>
      <w:tblGrid>
        <w:gridCol w:w="3827"/>
        <w:gridCol w:w="1496"/>
      </w:tblGrid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Παρούσα αξία εισφορών ενεργών μελών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€ 28.000.000</w:t>
            </w:r>
          </w:p>
        </w:tc>
      </w:tr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Παρούσα αξία θεμελιωμένων δικαιωμάτων ενεργών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€ 20.000.000</w:t>
            </w:r>
          </w:p>
        </w:tc>
      </w:tr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Περιουσία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€ 5.000.000</w:t>
            </w:r>
          </w:p>
        </w:tc>
      </w:tr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Παρούσα αξία μελλοντικών δικαιωμάτων ενεργών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€ 20.000.000</w:t>
            </w:r>
          </w:p>
        </w:tc>
      </w:tr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Παρούσα αξία παροχών νέων μελών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€ 10.000.000</w:t>
            </w:r>
          </w:p>
        </w:tc>
      </w:tr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Παρούσα αξία εισφορών νέων μελών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€ 14.000.000</w:t>
            </w:r>
          </w:p>
        </w:tc>
      </w:tr>
      <w:tr w:rsidR="005F4759" w:rsidRPr="00B4640F" w:rsidTr="00D2658C">
        <w:tc>
          <w:tcPr>
            <w:tcW w:w="3827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Παρούσα αξία προσόδων περιουσίας</w:t>
            </w:r>
          </w:p>
        </w:tc>
        <w:tc>
          <w:tcPr>
            <w:tcW w:w="1496" w:type="dxa"/>
            <w:vAlign w:val="center"/>
          </w:tcPr>
          <w:p w:rsidR="005F4759" w:rsidRPr="00B4640F" w:rsidRDefault="005F4759" w:rsidP="00D2658C">
            <w:pPr>
              <w:spacing w:before="40" w:after="40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€12.000.000</w:t>
            </w:r>
          </w:p>
        </w:tc>
      </w:tr>
    </w:tbl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Συμπεραίνουμε ότι το ταμείο έχει :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39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Αναλογιστικό έλλειμμα ίσο με </w:t>
      </w: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3.000.000</w:t>
      </w:r>
    </w:p>
    <w:p w:rsidR="005F4759" w:rsidRPr="00B4640F" w:rsidRDefault="005F4759" w:rsidP="005F4759">
      <w:pPr>
        <w:pStyle w:val="ac"/>
        <w:numPr>
          <w:ilvl w:val="0"/>
          <w:numId w:val="39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Αναλογιστικό έλλειμμα ίσο με </w:t>
      </w: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2.000.000</w:t>
      </w:r>
    </w:p>
    <w:p w:rsidR="005F4759" w:rsidRPr="00B4640F" w:rsidRDefault="005F4759" w:rsidP="005F4759">
      <w:pPr>
        <w:pStyle w:val="ac"/>
        <w:numPr>
          <w:ilvl w:val="0"/>
          <w:numId w:val="39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Ούτε αναλογιστικό έλλειμμα ούτε αναλογιστικό πλεόνασμα</w:t>
      </w:r>
    </w:p>
    <w:p w:rsidR="005F4759" w:rsidRPr="00B4640F" w:rsidRDefault="005F4759" w:rsidP="005F4759">
      <w:pPr>
        <w:pStyle w:val="ac"/>
        <w:numPr>
          <w:ilvl w:val="0"/>
          <w:numId w:val="39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Αναλογιστικό πλεόνασμα ίσο με </w:t>
      </w: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4.000.000</w:t>
      </w:r>
    </w:p>
    <w:p w:rsidR="005F4759" w:rsidRPr="00B4640F" w:rsidRDefault="005F4759" w:rsidP="005F4759">
      <w:pPr>
        <w:pStyle w:val="ac"/>
        <w:numPr>
          <w:ilvl w:val="0"/>
          <w:numId w:val="39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Αναλογιστικό πλεόνασμα ίσο με </w:t>
      </w: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9.000.000</w:t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4C44FA">
        <w:rPr>
          <w:rFonts w:asciiTheme="minorHAnsi" w:hAnsiTheme="minorHAnsi" w:cstheme="minorHAnsi"/>
          <w:b/>
          <w:sz w:val="20"/>
          <w:szCs w:val="20"/>
          <w:lang w:val="el-GR"/>
        </w:rPr>
        <w:t>4.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Ποιο από τα παρακάτω αληθεύει για τις μεθόδους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Frozen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Initial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Liability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Entry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Age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Normal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(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FIL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EAN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), 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Frozen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Initial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Liability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Attained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Age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(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FIL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n-US"/>
        </w:rPr>
        <w:t>AA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>) και Α</w:t>
      </w:r>
      <w:proofErr w:type="spellStart"/>
      <w:r w:rsidRPr="00B4640F">
        <w:rPr>
          <w:rFonts w:asciiTheme="minorHAnsi" w:hAnsiTheme="minorHAnsi" w:cstheme="minorHAnsi"/>
          <w:sz w:val="20"/>
          <w:szCs w:val="20"/>
          <w:lang w:val="en-US"/>
        </w:rPr>
        <w:t>ggregate</w:t>
      </w:r>
      <w:proofErr w:type="spellEnd"/>
      <w:r w:rsidRPr="00B4640F">
        <w:rPr>
          <w:rFonts w:asciiTheme="minorHAnsi" w:hAnsiTheme="minorHAnsi" w:cstheme="minorHAnsi"/>
          <w:sz w:val="20"/>
          <w:szCs w:val="20"/>
          <w:lang w:val="el-GR"/>
        </w:rPr>
        <w:t>;</w:t>
      </w:r>
    </w:p>
    <w:p w:rsidR="005F4759" w:rsidRPr="00B4640F" w:rsidRDefault="005F4759" w:rsidP="005F4759">
      <w:pPr>
        <w:pStyle w:val="ac"/>
        <w:numPr>
          <w:ilvl w:val="0"/>
          <w:numId w:val="13"/>
        </w:numPr>
        <w:spacing w:after="120"/>
        <w:ind w:left="1089" w:firstLine="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Η FIL EAN και η  FIL AA σε καμιά χρονική στιγμή δεν μετατρέπονται σε Aggregate </w:t>
      </w:r>
    </w:p>
    <w:p w:rsidR="005F4759" w:rsidRPr="00B4640F" w:rsidRDefault="005F4759" w:rsidP="005F4759">
      <w:pPr>
        <w:pStyle w:val="ac"/>
        <w:numPr>
          <w:ilvl w:val="0"/>
          <w:numId w:val="13"/>
        </w:numPr>
        <w:spacing w:after="120"/>
        <w:ind w:left="1089" w:firstLine="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Στην FIL EAN, στην  FIL AA  και στην Aggregate UΑL&gt; 0</w:t>
      </w:r>
    </w:p>
    <w:p w:rsidR="005F4759" w:rsidRPr="00B4640F" w:rsidRDefault="005F4759" w:rsidP="005F4759">
      <w:pPr>
        <w:pStyle w:val="ac"/>
        <w:numPr>
          <w:ilvl w:val="0"/>
          <w:numId w:val="13"/>
        </w:numPr>
        <w:spacing w:after="120"/>
        <w:ind w:left="1089" w:firstLine="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Στην FIL EAN και στην  FIL AA  μπορεί να προκύψει σταδιακή απόσβεση σε  </w:t>
      </w:r>
      <w:proofErr w:type="spellStart"/>
      <w:r w:rsidRPr="00B4640F">
        <w:rPr>
          <w:rFonts w:asciiTheme="minorHAnsi" w:hAnsiTheme="minorHAnsi" w:cstheme="minorHAnsi"/>
          <w:lang w:val="el-GR"/>
        </w:rPr>
        <w:t>Supplemental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Cost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 αλλά όχι στην Aggregate </w:t>
      </w:r>
    </w:p>
    <w:p w:rsidR="005F4759" w:rsidRPr="00B4640F" w:rsidRDefault="005F4759" w:rsidP="005F4759">
      <w:pPr>
        <w:pStyle w:val="ac"/>
        <w:spacing w:after="120"/>
        <w:jc w:val="both"/>
        <w:rPr>
          <w:rFonts w:asciiTheme="minorHAnsi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40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Ι. και το ΙΙ.</w:t>
      </w:r>
    </w:p>
    <w:p w:rsidR="005F4759" w:rsidRPr="00B4640F" w:rsidRDefault="005F4759" w:rsidP="005F4759">
      <w:pPr>
        <w:pStyle w:val="ac"/>
        <w:numPr>
          <w:ilvl w:val="0"/>
          <w:numId w:val="40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Ι. και το ΙΙΙ.</w:t>
      </w:r>
    </w:p>
    <w:p w:rsidR="005F4759" w:rsidRPr="00B4640F" w:rsidRDefault="005F4759" w:rsidP="005F4759">
      <w:pPr>
        <w:pStyle w:val="ac"/>
        <w:numPr>
          <w:ilvl w:val="0"/>
          <w:numId w:val="40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I.</w:t>
      </w:r>
    </w:p>
    <w:p w:rsidR="005F4759" w:rsidRPr="00B4640F" w:rsidRDefault="005F4759" w:rsidP="005F4759">
      <w:pPr>
        <w:pStyle w:val="ac"/>
        <w:numPr>
          <w:ilvl w:val="0"/>
          <w:numId w:val="40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Μόνο το II.</w:t>
      </w:r>
    </w:p>
    <w:p w:rsidR="005F4759" w:rsidRPr="00B4640F" w:rsidRDefault="005F4759" w:rsidP="005F4759">
      <w:pPr>
        <w:pStyle w:val="ac"/>
        <w:numPr>
          <w:ilvl w:val="0"/>
          <w:numId w:val="40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Μόνο το ΙΙΙ. </w:t>
      </w:r>
    </w:p>
    <w:p w:rsidR="005F4759" w:rsidRPr="00B4640F" w:rsidRDefault="005F4759" w:rsidP="005F4759">
      <w:pPr>
        <w:pStyle w:val="ac"/>
        <w:spacing w:after="120"/>
        <w:ind w:left="1080"/>
        <w:jc w:val="both"/>
        <w:rPr>
          <w:rFonts w:asciiTheme="minorHAnsi" w:hAnsiTheme="minorHAnsi" w:cstheme="minorHAnsi"/>
          <w:lang w:val="en-US"/>
        </w:rPr>
      </w:pPr>
    </w:p>
    <w:p w:rsidR="002A2521" w:rsidRPr="00B4640F" w:rsidRDefault="002A2521">
      <w:pPr>
        <w:rPr>
          <w:rFonts w:asciiTheme="minorHAnsi" w:hAnsiTheme="minorHAnsi" w:cstheme="minorHAnsi"/>
          <w:sz w:val="20"/>
          <w:szCs w:val="20"/>
          <w:lang w:val="en-US" w:eastAsia="zh-CN"/>
        </w:rPr>
      </w:pPr>
      <w:r w:rsidRPr="00B4640F">
        <w:rPr>
          <w:rFonts w:asciiTheme="minorHAnsi" w:hAnsiTheme="minorHAnsi" w:cstheme="minorHAnsi"/>
          <w:sz w:val="20"/>
          <w:szCs w:val="20"/>
          <w:lang w:val="en-US"/>
        </w:rPr>
        <w:br w:type="page"/>
      </w:r>
    </w:p>
    <w:p w:rsidR="005F4759" w:rsidRPr="00B4640F" w:rsidRDefault="005F4759" w:rsidP="005F4759">
      <w:pPr>
        <w:pStyle w:val="ac"/>
        <w:spacing w:after="120"/>
        <w:ind w:left="1080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Συνταξιοδοτικό πλάνο παρέχει στην ηλικία των 65 ετών σύνταξη €1.000 ετησίως. Κατά τη χρονική στιγμή t=0, το πλάνο έχει περιουσία ίση προς €6.800 και καλύπτει εργαζόμενους ηλικίας 30 και 64 ετών σύμφωνα προς τον παρακάτω πίνακα.</w:t>
      </w:r>
    </w:p>
    <w:tbl>
      <w:tblPr>
        <w:tblStyle w:val="a7"/>
        <w:tblW w:w="0" w:type="auto"/>
        <w:tblInd w:w="959" w:type="dxa"/>
        <w:tblLayout w:type="fixed"/>
        <w:tblLook w:val="04A0"/>
      </w:tblPr>
      <w:tblGrid>
        <w:gridCol w:w="1351"/>
        <w:gridCol w:w="1200"/>
        <w:gridCol w:w="1134"/>
        <w:gridCol w:w="1134"/>
      </w:tblGrid>
      <w:tr w:rsidR="005F4759" w:rsidRPr="00B4640F" w:rsidTr="00D2658C">
        <w:trPr>
          <w:trHeight w:val="829"/>
        </w:trPr>
        <w:tc>
          <w:tcPr>
            <w:tcW w:w="1351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</w:p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     Πλήθος</w:t>
            </w:r>
          </w:p>
        </w:tc>
        <w:tc>
          <w:tcPr>
            <w:tcW w:w="1200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   Ηλικία</w:t>
            </w:r>
          </w:p>
        </w:tc>
        <w:tc>
          <w:tcPr>
            <w:tcW w:w="1134" w:type="dxa"/>
            <w:vAlign w:val="center"/>
          </w:tcPr>
          <w:p w:rsidR="005F4759" w:rsidRPr="00B4640F" w:rsidRDefault="00924C98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0"/>
                        <w:szCs w:val="20"/>
                        <w:lang w:val="el-GR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Theme="minorHAnsi" w:cstheme="minorHAnsi"/>
                            <w:i/>
                            <w:sz w:val="20"/>
                            <w:szCs w:val="20"/>
                            <w:lang w:val="el-GR"/>
                          </w:rPr>
                        </m:ctrlPr>
                      </m:eqArrPr>
                      <m:e/>
                      <m:e>
                        <m:sSub>
                          <m:sSubPr>
                            <m:ctrl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m:t>65</m:t>
                            </m:r>
                          </m:sub>
                        </m:sSub>
                        <m:ctrlPr>
                          <w:rPr>
                            <w:rFonts w:ascii="Cambria Math" w:hAnsiTheme="minorHAnsi" w:cstheme="minorHAnsi"/>
                            <w:sz w:val="20"/>
                            <w:szCs w:val="20"/>
                            <w:lang w:val="el-GR"/>
                          </w:rPr>
                        </m:ctrlPr>
                      </m:e>
                    </m:eqArr>
                  </m:num>
                  <m:den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20"/>
                            <w:szCs w:val="20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0"/>
                            <w:szCs w:val="20"/>
                            <w:lang w:val="el-G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  <w:lang w:val="el-GR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5F4759" w:rsidRPr="00B4640F" w:rsidRDefault="00924C98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0"/>
                        <w:szCs w:val="20"/>
                        <w:lang w:val="el-GR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Theme="minorHAnsi" w:cstheme="minorHAnsi"/>
                            <w:i/>
                            <w:sz w:val="20"/>
                            <w:szCs w:val="20"/>
                            <w:lang w:val="el-GR"/>
                          </w:rPr>
                        </m:ctrlPr>
                      </m:eqArrPr>
                      <m:e/>
                      <m:e>
                        <m:sSub>
                          <m:sSubPr>
                            <m:ctrl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Theme="minorHAnsi" w:cstheme="minorHAnsi"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inorHAnsi" w:cstheme="minorHAnsi"/>
                                    <w:sz w:val="20"/>
                                    <w:szCs w:val="20"/>
                                    <w:lang w:val="el-GR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Theme="minorHAnsi" w:cstheme="minorHAnsi"/>
                                    <w:sz w:val="20"/>
                                    <w:szCs w:val="20"/>
                                    <w:lang w:val="el-GR"/>
                                  </w:rPr>
                                  <m:t>x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inorHAnsi" w:cstheme="minorHAnsi"/>
                                <w:sz w:val="20"/>
                                <w:szCs w:val="20"/>
                                <w:lang w:val="el-GR"/>
                              </w:rPr>
                              <m:t>65</m:t>
                            </m:r>
                          </m:sub>
                        </m:sSub>
                        <m:ctrlPr>
                          <w:rPr>
                            <w:rFonts w:ascii="Cambria Math" w:hAnsiTheme="minorHAnsi" w:cstheme="minorHAnsi"/>
                            <w:sz w:val="20"/>
                            <w:szCs w:val="20"/>
                            <w:lang w:val="el-GR"/>
                          </w:rPr>
                        </m:ctrlPr>
                      </m:e>
                    </m:eqArr>
                  </m:num>
                  <m:den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20"/>
                            <w:szCs w:val="20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0"/>
                            <w:szCs w:val="20"/>
                            <w:lang w:val="el-GR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0"/>
                            <w:szCs w:val="20"/>
                            <w:lang w:val="el-GR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</w:tr>
      <w:tr w:rsidR="005F4759" w:rsidRPr="00B4640F" w:rsidTr="00D2658C">
        <w:tc>
          <w:tcPr>
            <w:tcW w:w="1351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7</w:t>
            </w:r>
          </w:p>
        </w:tc>
        <w:tc>
          <w:tcPr>
            <w:tcW w:w="1200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30</w:t>
            </w:r>
          </w:p>
        </w:tc>
        <w:tc>
          <w:tcPr>
            <w:tcW w:w="1134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0,1</w:t>
            </w:r>
          </w:p>
        </w:tc>
        <w:tc>
          <w:tcPr>
            <w:tcW w:w="1134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19</w:t>
            </w:r>
          </w:p>
        </w:tc>
      </w:tr>
      <w:tr w:rsidR="005F4759" w:rsidRPr="00B4640F" w:rsidTr="00D2658C">
        <w:tc>
          <w:tcPr>
            <w:tcW w:w="1351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3</w:t>
            </w:r>
          </w:p>
        </w:tc>
        <w:tc>
          <w:tcPr>
            <w:tcW w:w="1200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64</w:t>
            </w:r>
          </w:p>
        </w:tc>
        <w:tc>
          <w:tcPr>
            <w:tcW w:w="1134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0,9</w:t>
            </w:r>
          </w:p>
        </w:tc>
        <w:tc>
          <w:tcPr>
            <w:tcW w:w="1134" w:type="dxa"/>
            <w:vAlign w:val="center"/>
          </w:tcPr>
          <w:p w:rsidR="005F4759" w:rsidRPr="00B4640F" w:rsidRDefault="005F4759" w:rsidP="00D2658C">
            <w:pPr>
              <w:spacing w:before="40" w:after="40"/>
              <w:ind w:hanging="72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</w:tr>
    </w:tbl>
    <w:p w:rsidR="005F4759" w:rsidRPr="00B4640F" w:rsidRDefault="005F4759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      Εάν</w:t>
      </w:r>
      <m:oMath>
        <m:r>
          <m:rPr>
            <m:sty m:val="p"/>
          </m:rPr>
          <w:rPr>
            <w:rFonts w:ascii="Cambria Math" w:hAnsiTheme="minorHAnsi" w:cstheme="minorHAnsi"/>
            <w:sz w:val="20"/>
            <w:szCs w:val="20"/>
            <w:lang w:val="el-GR"/>
          </w:rPr>
          <m:t xml:space="preserve"> </m:t>
        </m:r>
        <m:sSubSup>
          <m:sSubSupPr>
            <m:ctrlPr>
              <w:rPr>
                <w:rFonts w:ascii="Cambria Math" w:hAnsiTheme="minorHAnsi" w:cstheme="minorHAnsi"/>
                <w:sz w:val="20"/>
                <w:szCs w:val="20"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hAnsiTheme="minorHAnsi" w:cstheme="minorHAnsi"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0"/>
                    <w:szCs w:val="20"/>
                    <w:lang w:val="el-GR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0"/>
                    <w:szCs w:val="20"/>
                    <w:lang w:val="el-GR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0"/>
                    <w:szCs w:val="20"/>
                    <w:lang w:val="el-GR"/>
                  </w:rPr>
                  <m:t xml:space="preserve"> </m:t>
                </m:r>
              </m:e>
            </m:acc>
          </m:e>
          <m:sub>
            <m:sSub>
              <m:sSubPr>
                <m:ctrlPr>
                  <w:rPr>
                    <w:rFonts w:ascii="Cambria Math" w:hAnsiTheme="minorHAnsi" w:cstheme="minorHAnsi"/>
                    <w:sz w:val="20"/>
                    <w:szCs w:val="20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0"/>
                    <w:szCs w:val="20"/>
                    <w:lang w:val="el-GR"/>
                  </w:rPr>
                  <m:t>65</m:t>
                </m:r>
              </m:e>
              <m:sub/>
            </m:sSub>
            <m:r>
              <m:rPr>
                <m:sty m:val="p"/>
              </m:rPr>
              <w:rPr>
                <w:rFonts w:ascii="Cambria Math" w:hAnsiTheme="minorHAnsi" w:cstheme="minorHAnsi"/>
                <w:sz w:val="20"/>
                <w:szCs w:val="20"/>
                <w:lang w:val="el-GR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Theme="minorHAnsi" w:cstheme="minorHAnsi"/>
                <w:sz w:val="20"/>
                <w:szCs w:val="20"/>
                <w:lang w:val="el-GR"/>
              </w:rPr>
              <m:t>(12)</m:t>
            </m:r>
          </m:sup>
        </m:sSubSup>
        <m:r>
          <m:rPr>
            <m:sty m:val="p"/>
          </m:rPr>
          <w:rPr>
            <w:rFonts w:ascii="Cambria Math" w:hAnsiTheme="minorHAnsi" w:cstheme="minorHAnsi"/>
            <w:sz w:val="20"/>
            <w:szCs w:val="20"/>
            <w:lang w:val="el-GR"/>
          </w:rPr>
          <m:t>=</m:t>
        </m:r>
      </m:oMath>
      <w:r w:rsidR="00605618"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A67820" w:rsidRPr="00A6782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10 ποιό το κανονικό κόστος τη χρονική στιγμή t=0 κάτω από την  </w:t>
      </w:r>
      <w:proofErr w:type="spellStart"/>
      <w:r w:rsidRPr="00B4640F">
        <w:rPr>
          <w:rFonts w:asciiTheme="minorHAnsi" w:hAnsiTheme="minorHAnsi" w:cstheme="minorHAnsi"/>
          <w:sz w:val="20"/>
          <w:szCs w:val="20"/>
          <w:lang w:val="el-GR"/>
        </w:rPr>
        <w:t>Αggregate</w:t>
      </w:r>
      <w:proofErr w:type="spellEnd"/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; </w:t>
      </w:r>
    </w:p>
    <w:p w:rsidR="00605618" w:rsidRPr="00B4640F" w:rsidRDefault="00605618" w:rsidP="005F4759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4.352</w:t>
      </w:r>
    </w:p>
    <w:p w:rsidR="005F4759" w:rsidRPr="00B4640F" w:rsidRDefault="005F4759" w:rsidP="005F4759">
      <w:pPr>
        <w:pStyle w:val="ac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2.720</w:t>
      </w:r>
    </w:p>
    <w:p w:rsidR="005F4759" w:rsidRPr="00B4640F" w:rsidRDefault="005F4759" w:rsidP="005F4759">
      <w:pPr>
        <w:pStyle w:val="ac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2.500</w:t>
      </w:r>
    </w:p>
    <w:p w:rsidR="005F4759" w:rsidRPr="00B4640F" w:rsidRDefault="005F4759" w:rsidP="005F4759">
      <w:pPr>
        <w:pStyle w:val="ac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2.270</w:t>
      </w:r>
    </w:p>
    <w:p w:rsidR="005F4759" w:rsidRPr="00B4640F" w:rsidRDefault="005F4759" w:rsidP="005F4759">
      <w:pPr>
        <w:pStyle w:val="ac"/>
        <w:numPr>
          <w:ilvl w:val="0"/>
          <w:numId w:val="20"/>
        </w:numPr>
        <w:spacing w:after="120" w:line="276" w:lineRule="auto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n-US"/>
        </w:rPr>
        <w:t xml:space="preserve">€ </w:t>
      </w:r>
      <w:r w:rsidRPr="00B4640F">
        <w:rPr>
          <w:rFonts w:asciiTheme="minorHAnsi" w:hAnsiTheme="minorHAnsi" w:cstheme="minorHAnsi"/>
          <w:lang w:val="el-GR"/>
        </w:rPr>
        <w:t>2.000</w:t>
      </w:r>
    </w:p>
    <w:p w:rsidR="005F4759" w:rsidRPr="00B4640F" w:rsidRDefault="005F4759" w:rsidP="005F4759">
      <w:pPr>
        <w:pStyle w:val="ac"/>
        <w:spacing w:after="120"/>
        <w:ind w:left="1080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spacing w:after="120"/>
        <w:ind w:left="1080"/>
        <w:jc w:val="both"/>
        <w:rPr>
          <w:rFonts w:asciiTheme="minorHAnsi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Κατά την έναρξη συνταξιοδοτικού πλάνου την 1/1/2015 με ασφαλισμένο ηλικίας 40 ετών και ετήσιο μισθό S</w:t>
      </w:r>
      <w:r w:rsidRPr="00B4640F">
        <w:rPr>
          <w:rFonts w:asciiTheme="minorHAnsi" w:eastAsia="SimSun" w:hAnsiTheme="minorHAnsi" w:cstheme="minorHAnsi"/>
          <w:vertAlign w:val="subscript"/>
          <w:lang w:val="el-GR"/>
        </w:rPr>
        <w:t>40</w:t>
      </w:r>
      <w:r w:rsidRPr="00B4640F">
        <w:rPr>
          <w:rFonts w:asciiTheme="minorHAnsi" w:eastAsia="SimSun" w:hAnsiTheme="minorHAnsi" w:cstheme="minorHAnsi"/>
          <w:lang w:val="el-GR"/>
        </w:rPr>
        <w:t xml:space="preserve"> η παροχή αποτελεί το α% του τελικού μισθού πριν τη συνταξιοδότηση. </w:t>
      </w:r>
      <w:r w:rsidRPr="00B4640F">
        <w:rPr>
          <w:rFonts w:asciiTheme="minorHAnsi" w:hAnsiTheme="minorHAnsi" w:cstheme="minorHAnsi"/>
          <w:lang w:val="el-GR"/>
        </w:rPr>
        <w:t xml:space="preserve">Εάν δεν υπάρχει αίτιο εξόδου μέχρι την ηλικία  συνταξιοδότησης r=65 το επιτόκιο ισούται προς 3%, η αύξηση μισθών είναι 3,88%, και  το κανονικό κόστος σύμφωνα με την </w:t>
      </w:r>
      <w:proofErr w:type="spellStart"/>
      <w:r w:rsidRPr="00B4640F">
        <w:rPr>
          <w:rFonts w:asciiTheme="minorHAnsi" w:hAnsiTheme="minorHAnsi" w:cstheme="minorHAnsi"/>
          <w:lang w:val="el-GR"/>
        </w:rPr>
        <w:t>Individual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Level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Premium  την 1/1/2016 είναι το 90% εκείνου της 1/1/2015 τότε ο τελευταίος μισθός σύμφωνα με τους υπολογισμούς του 2016 είναι β% του τελευταίου μισθού σύμφωνα με τους υπολογισμούς του 2015 όπου β είναι: </w:t>
      </w:r>
    </w:p>
    <w:p w:rsidR="005F4759" w:rsidRPr="00B4640F" w:rsidRDefault="005F4759" w:rsidP="005F4759">
      <w:pPr>
        <w:pStyle w:val="a3"/>
        <w:numPr>
          <w:ilvl w:val="0"/>
          <w:numId w:val="1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116,3</w:t>
      </w:r>
    </w:p>
    <w:p w:rsidR="005F4759" w:rsidRPr="00B4640F" w:rsidRDefault="005F4759" w:rsidP="005F4759">
      <w:pPr>
        <w:pStyle w:val="a3"/>
        <w:numPr>
          <w:ilvl w:val="0"/>
          <w:numId w:val="1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101,7</w:t>
      </w:r>
    </w:p>
    <w:p w:rsidR="005F4759" w:rsidRPr="00B4640F" w:rsidRDefault="005F4759" w:rsidP="005F4759">
      <w:pPr>
        <w:pStyle w:val="a3"/>
        <w:numPr>
          <w:ilvl w:val="0"/>
          <w:numId w:val="1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 95,0</w:t>
      </w:r>
    </w:p>
    <w:p w:rsidR="005F4759" w:rsidRPr="00B4640F" w:rsidRDefault="005F4759" w:rsidP="005F4759">
      <w:pPr>
        <w:pStyle w:val="a3"/>
        <w:numPr>
          <w:ilvl w:val="0"/>
          <w:numId w:val="1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 86,0</w:t>
      </w:r>
    </w:p>
    <w:p w:rsidR="005F4759" w:rsidRPr="00B4640F" w:rsidRDefault="005F4759" w:rsidP="005F4759">
      <w:pPr>
        <w:pStyle w:val="a3"/>
        <w:numPr>
          <w:ilvl w:val="0"/>
          <w:numId w:val="1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 57,7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br w:type="page"/>
      </w: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ind w:left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lastRenderedPageBreak/>
        <w:t>Κάτω από την Aggregate με παροχή στα 67 το 70% του τελικού μισθού και επιτόκιο 4% την 1/1/2015 η παρούσα αξία του συνολικού μισθολογίου είναι €105.000.000 και το ετήσιο μισθολόγιο €7.000.000 αυξανόμενο κάθε χρόνο προς 3%. Μέσα στο 2015 οι αποδοχές δεν αυξάνονται ενώ οι λοιπές αναλογιστικές υποθέσεις επαληθεύονται. Αν την 1/1/2015 η παρούσα αξία των μελλοντικών παροχών (PVFB) είναι €20.000.000, η περιουσία €5.000.000 και η καταβαλλόμενη εισφορά ίση προς το κανονικό κόστος,</w:t>
      </w:r>
    </w:p>
    <w:p w:rsidR="005F4759" w:rsidRPr="00B4640F" w:rsidRDefault="005F4759" w:rsidP="005F4759">
      <w:pPr>
        <w:pStyle w:val="ac"/>
        <w:spacing w:after="120"/>
        <w:ind w:left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ποιο το κανονικό κόστος την 1/1/2016;</w:t>
      </w:r>
    </w:p>
    <w:p w:rsidR="005F4759" w:rsidRPr="00B4640F" w:rsidRDefault="005F4759" w:rsidP="005F4759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17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    </w:t>
      </w:r>
      <w:r w:rsidR="00DD1CB8" w:rsidRPr="00DD1CB8">
        <w:rPr>
          <w:rFonts w:asciiTheme="minorHAnsi" w:eastAsia="SimSun" w:hAnsiTheme="minorHAnsi" w:cstheme="minorHAnsi"/>
          <w:lang w:val="el-GR"/>
        </w:rPr>
        <w:t xml:space="preserve"> </w:t>
      </w:r>
      <w:r w:rsidR="00DD1CB8" w:rsidRPr="00870379">
        <w:rPr>
          <w:rFonts w:asciiTheme="minorHAnsi" w:eastAsia="SimSun" w:hAnsiTheme="minorHAnsi" w:cstheme="minorHAnsi"/>
          <w:lang w:val="el-GR"/>
        </w:rPr>
        <w:t xml:space="preserve"> </w:t>
      </w:r>
      <w:r w:rsidRPr="00B4640F">
        <w:rPr>
          <w:rFonts w:asciiTheme="minorHAnsi" w:eastAsia="SimSun" w:hAnsiTheme="minorHAnsi" w:cstheme="minorHAnsi"/>
          <w:lang w:val="el-GR"/>
        </w:rPr>
        <w:t>€</w:t>
      </w:r>
      <w:r w:rsidRPr="00B4640F">
        <w:rPr>
          <w:rFonts w:asciiTheme="minorHAnsi" w:eastAsia="SimSun" w:hAnsiTheme="minorHAnsi" w:cstheme="minorHAnsi"/>
          <w:lang w:val="en-US"/>
        </w:rPr>
        <w:t xml:space="preserve"> </w:t>
      </w:r>
      <w:r w:rsidRPr="00B4640F">
        <w:rPr>
          <w:rFonts w:asciiTheme="minorHAnsi" w:eastAsia="SimSun" w:hAnsiTheme="minorHAnsi" w:cstheme="minorHAnsi"/>
          <w:lang w:val="el-GR"/>
        </w:rPr>
        <w:t>91.629</w:t>
      </w:r>
    </w:p>
    <w:p w:rsidR="005F4759" w:rsidRPr="00B4640F" w:rsidRDefault="005F4759" w:rsidP="005F4759">
      <w:pPr>
        <w:pStyle w:val="ac"/>
        <w:numPr>
          <w:ilvl w:val="0"/>
          <w:numId w:val="17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    €</w:t>
      </w:r>
      <w:r w:rsidRPr="00B4640F">
        <w:rPr>
          <w:rFonts w:asciiTheme="minorHAnsi" w:eastAsia="SimSun" w:hAnsiTheme="minorHAnsi" w:cstheme="minorHAnsi"/>
          <w:lang w:val="en-US"/>
        </w:rPr>
        <w:t xml:space="preserve"> </w:t>
      </w:r>
      <w:r w:rsidRPr="00B4640F">
        <w:rPr>
          <w:rFonts w:asciiTheme="minorHAnsi" w:eastAsia="SimSun" w:hAnsiTheme="minorHAnsi" w:cstheme="minorHAnsi"/>
          <w:lang w:val="el-GR"/>
        </w:rPr>
        <w:t>897.143</w:t>
      </w:r>
    </w:p>
    <w:p w:rsidR="005F4759" w:rsidRPr="00B4640F" w:rsidRDefault="005F4759" w:rsidP="005F4759">
      <w:pPr>
        <w:pStyle w:val="ac"/>
        <w:numPr>
          <w:ilvl w:val="0"/>
          <w:numId w:val="17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    €</w:t>
      </w:r>
      <w:r w:rsidRPr="00B4640F">
        <w:rPr>
          <w:rFonts w:asciiTheme="minorHAnsi" w:eastAsia="SimSun" w:hAnsiTheme="minorHAnsi" w:cstheme="minorHAnsi"/>
          <w:lang w:val="en-US"/>
        </w:rPr>
        <w:t xml:space="preserve"> </w:t>
      </w:r>
      <w:r w:rsidRPr="00B4640F">
        <w:rPr>
          <w:rFonts w:asciiTheme="minorHAnsi" w:eastAsia="SimSun" w:hAnsiTheme="minorHAnsi" w:cstheme="minorHAnsi"/>
          <w:lang w:val="el-GR"/>
        </w:rPr>
        <w:t>958.392</w:t>
      </w:r>
    </w:p>
    <w:p w:rsidR="005F4759" w:rsidRPr="00B4640F" w:rsidRDefault="005F4759" w:rsidP="005F4759">
      <w:pPr>
        <w:pStyle w:val="ac"/>
        <w:numPr>
          <w:ilvl w:val="0"/>
          <w:numId w:val="17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    €</w:t>
      </w:r>
      <w:r w:rsidRPr="00B4640F">
        <w:rPr>
          <w:rFonts w:asciiTheme="minorHAnsi" w:eastAsia="SimSun" w:hAnsiTheme="minorHAnsi" w:cstheme="minorHAnsi"/>
          <w:lang w:val="en-US"/>
        </w:rPr>
        <w:t xml:space="preserve"> </w:t>
      </w:r>
      <w:r w:rsidRPr="00B4640F">
        <w:rPr>
          <w:rFonts w:asciiTheme="minorHAnsi" w:eastAsia="SimSun" w:hAnsiTheme="minorHAnsi" w:cstheme="minorHAnsi"/>
          <w:lang w:val="el-GR"/>
        </w:rPr>
        <w:t>987.143</w:t>
      </w:r>
    </w:p>
    <w:p w:rsidR="005F4759" w:rsidRPr="00B4640F" w:rsidRDefault="005F4759" w:rsidP="005F4759">
      <w:pPr>
        <w:pStyle w:val="ac"/>
        <w:numPr>
          <w:ilvl w:val="0"/>
          <w:numId w:val="17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n-US"/>
        </w:rPr>
        <w:t xml:space="preserve">  </w:t>
      </w:r>
      <w:r w:rsidRPr="00B4640F">
        <w:rPr>
          <w:rFonts w:asciiTheme="minorHAnsi" w:eastAsia="SimSun" w:hAnsiTheme="minorHAnsi" w:cstheme="minorHAnsi"/>
          <w:lang w:val="el-GR"/>
        </w:rPr>
        <w:t>€1.000.000</w:t>
      </w:r>
    </w:p>
    <w:p w:rsidR="005F4759" w:rsidRPr="00B4640F" w:rsidRDefault="005F4759" w:rsidP="005F4759">
      <w:pPr>
        <w:pStyle w:val="a3"/>
        <w:ind w:left="72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Κάτω από την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Projected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Unit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Credit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με επιτόκιο 7% η μηνιαία παροχή είναι 2% του μέσου όρου των αποδοχών της τελευταίας τριετίας πριν από τη συνταξιοδότηση. Αίτιο εξόδου μέχρι τη συνταξιοδότηση δεν υπάρχει. Ασφαλισμένος ηλικίας 40 ετών με 2 έτη προϋπηρεσίας λαμβάνει ετήσιες αποδοχές €21.000 αυξανόμενες ετησίως προς 5%.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Εάν αμέσως μετά την αναλογιστική αποτίμηση η ηλικία συνταξιοδότησης του αλλάξει από τα 65 </w:t>
      </w:r>
      <m:oMath>
        <m:r>
          <w:rPr>
            <w:rFonts w:ascii="Cambria Math" w:eastAsia="SimSun" w:hAnsiTheme="minorHAnsi" w:cstheme="minorHAnsi"/>
            <w:lang w:val="el-GR"/>
          </w:rPr>
          <m:t>(</m:t>
        </m:r>
        <m:sSubSup>
          <m:sSubSupPr>
            <m:ctrlPr>
              <w:rPr>
                <w:rFonts w:ascii="Cambria Math" w:eastAsia="SimSun" w:hAnsiTheme="minorHAnsi" w:cstheme="minorHAnsi"/>
                <w:i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eastAsia="SimSun" w:hAnsiTheme="minorHAnsi" w:cstheme="minorHAnsi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SimSun" w:hAnsi="Cambria Math" w:cstheme="minorHAnsi"/>
                    <w:lang w:val="el-GR"/>
                  </w:rPr>
                  <m:t>a</m:t>
                </m:r>
              </m:e>
            </m:acc>
          </m:e>
          <m:sub>
            <m:r>
              <w:rPr>
                <w:rFonts w:ascii="Cambria Math" w:eastAsia="SimSun" w:hAnsiTheme="minorHAnsi" w:cstheme="minorHAnsi"/>
                <w:lang w:val="el-GR"/>
              </w:rPr>
              <m:t>65</m:t>
            </m:r>
          </m:sub>
          <m:sup>
            <m:r>
              <w:rPr>
                <w:rFonts w:ascii="Cambria Math" w:eastAsia="SimSun" w:hAnsiTheme="minorHAnsi" w:cstheme="minorHAnsi"/>
                <w:lang w:val="el-GR"/>
              </w:rPr>
              <m:t>(12)</m:t>
            </m:r>
          </m:sup>
        </m:sSubSup>
      </m:oMath>
      <w:r w:rsidRPr="00B4640F">
        <w:rPr>
          <w:rFonts w:asciiTheme="minorHAnsi" w:eastAsia="SimSun" w:hAnsiTheme="minorHAnsi" w:cstheme="minorHAnsi"/>
          <w:lang w:val="el-GR"/>
        </w:rPr>
        <w:t xml:space="preserve"> = 8,75) στα 62 (</w:t>
      </w:r>
      <m:oMath>
        <m:sSubSup>
          <m:sSubSupPr>
            <m:ctrlPr>
              <w:rPr>
                <w:rFonts w:ascii="Cambria Math" w:eastAsia="SimSun" w:hAnsiTheme="minorHAnsi" w:cstheme="minorHAnsi"/>
                <w:i/>
                <w:lang w:val="el-GR"/>
              </w:rPr>
            </m:ctrlPr>
          </m:sSubSupPr>
          <m:e>
            <m:acc>
              <m:accPr>
                <m:chr m:val="̈"/>
                <m:ctrlPr>
                  <w:rPr>
                    <w:rFonts w:ascii="Cambria Math" w:eastAsia="SimSun" w:hAnsiTheme="minorHAnsi" w:cstheme="minorHAnsi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SimSun" w:hAnsi="Cambria Math" w:cstheme="minorHAnsi"/>
                    <w:lang w:val="el-GR"/>
                  </w:rPr>
                  <m:t>a</m:t>
                </m:r>
              </m:e>
            </m:acc>
          </m:e>
          <m:sub>
            <m:r>
              <w:rPr>
                <w:rFonts w:ascii="Cambria Math" w:eastAsia="SimSun" w:hAnsiTheme="minorHAnsi" w:cstheme="minorHAnsi"/>
                <w:lang w:val="el-GR"/>
              </w:rPr>
              <m:t>62</m:t>
            </m:r>
          </m:sub>
          <m:sup>
            <m:r>
              <w:rPr>
                <w:rFonts w:ascii="Cambria Math" w:eastAsia="SimSun" w:hAnsiTheme="minorHAnsi" w:cstheme="minorHAnsi"/>
                <w:lang w:val="el-GR"/>
              </w:rPr>
              <m:t>(12)</m:t>
            </m:r>
          </m:sup>
        </m:sSubSup>
      </m:oMath>
      <w:r w:rsidRPr="00B4640F">
        <w:rPr>
          <w:rFonts w:asciiTheme="minorHAnsi" w:eastAsia="SimSun" w:hAnsiTheme="minorHAnsi" w:cstheme="minorHAnsi"/>
          <w:lang w:val="el-GR"/>
        </w:rPr>
        <w:t xml:space="preserve"> = 9,40) έτη, η διαφορά στην αναλογιστική υποχρέωση ισούται προς: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numPr>
          <w:ilvl w:val="0"/>
          <w:numId w:val="19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n-US"/>
        </w:rPr>
        <w:t xml:space="preserve">€ </w:t>
      </w:r>
      <w:r w:rsidRPr="00B4640F">
        <w:rPr>
          <w:rFonts w:asciiTheme="minorHAnsi" w:eastAsia="SimSun" w:hAnsiTheme="minorHAnsi" w:cstheme="minorHAnsi"/>
          <w:lang w:val="el-GR"/>
        </w:rPr>
        <w:t>299</w:t>
      </w:r>
    </w:p>
    <w:p w:rsidR="005F4759" w:rsidRPr="00B4640F" w:rsidRDefault="005F4759" w:rsidP="005F4759">
      <w:pPr>
        <w:pStyle w:val="ac"/>
        <w:numPr>
          <w:ilvl w:val="0"/>
          <w:numId w:val="19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n-US"/>
        </w:rPr>
        <w:t xml:space="preserve">€ </w:t>
      </w:r>
      <w:r w:rsidRPr="00B4640F">
        <w:rPr>
          <w:rFonts w:asciiTheme="minorHAnsi" w:eastAsia="SimSun" w:hAnsiTheme="minorHAnsi" w:cstheme="minorHAnsi"/>
          <w:lang w:val="el-GR"/>
        </w:rPr>
        <w:t>362</w:t>
      </w:r>
    </w:p>
    <w:p w:rsidR="005F4759" w:rsidRPr="00B4640F" w:rsidRDefault="005F4759" w:rsidP="005F4759">
      <w:pPr>
        <w:pStyle w:val="ac"/>
        <w:numPr>
          <w:ilvl w:val="0"/>
          <w:numId w:val="19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n-US"/>
        </w:rPr>
        <w:t xml:space="preserve">€ </w:t>
      </w:r>
      <w:r w:rsidRPr="00B4640F">
        <w:rPr>
          <w:rFonts w:asciiTheme="minorHAnsi" w:eastAsia="SimSun" w:hAnsiTheme="minorHAnsi" w:cstheme="minorHAnsi"/>
          <w:lang w:val="el-GR"/>
        </w:rPr>
        <w:t>403</w:t>
      </w:r>
    </w:p>
    <w:p w:rsidR="005F4759" w:rsidRPr="00B4640F" w:rsidRDefault="005F4759" w:rsidP="005F4759">
      <w:pPr>
        <w:pStyle w:val="ac"/>
        <w:numPr>
          <w:ilvl w:val="0"/>
          <w:numId w:val="19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n-US"/>
        </w:rPr>
        <w:t xml:space="preserve">€ </w:t>
      </w:r>
      <w:r w:rsidRPr="00B4640F">
        <w:rPr>
          <w:rFonts w:asciiTheme="minorHAnsi" w:eastAsia="SimSun" w:hAnsiTheme="minorHAnsi" w:cstheme="minorHAnsi"/>
          <w:lang w:val="el-GR"/>
        </w:rPr>
        <w:t>516</w:t>
      </w:r>
    </w:p>
    <w:p w:rsidR="005F4759" w:rsidRPr="00B4640F" w:rsidRDefault="005F4759" w:rsidP="005F4759">
      <w:pPr>
        <w:pStyle w:val="ac"/>
        <w:numPr>
          <w:ilvl w:val="0"/>
          <w:numId w:val="19"/>
        </w:numPr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n-US"/>
        </w:rPr>
        <w:t xml:space="preserve">€ </w:t>
      </w:r>
      <w:r w:rsidRPr="00B4640F">
        <w:rPr>
          <w:rFonts w:asciiTheme="minorHAnsi" w:eastAsia="SimSun" w:hAnsiTheme="minorHAnsi" w:cstheme="minorHAnsi"/>
          <w:lang w:val="el-GR"/>
        </w:rPr>
        <w:t>598</w:t>
      </w:r>
    </w:p>
    <w:p w:rsidR="005F4759" w:rsidRPr="00B4640F" w:rsidRDefault="005F4759" w:rsidP="005F4759">
      <w:pPr>
        <w:spacing w:after="120"/>
        <w:jc w:val="both"/>
        <w:rPr>
          <w:rFonts w:asciiTheme="minorHAnsi" w:eastAsia="SimSun" w:hAnsiTheme="minorHAnsi" w:cstheme="minorHAnsi"/>
          <w:sz w:val="20"/>
          <w:szCs w:val="20"/>
          <w:lang w:val="en-US"/>
        </w:rPr>
      </w:pP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Συνταξιοδοτικό πλάνο με ηλικία εισόδου e = 30 και συνταξιοδότησης r = 65 και παροχή στα 65 ίση προς B</w:t>
      </w:r>
      <w:r w:rsidRPr="00B4640F">
        <w:rPr>
          <w:rFonts w:asciiTheme="minorHAnsi" w:eastAsia="SimSun" w:hAnsiTheme="minorHAnsi" w:cstheme="minorHAnsi"/>
          <w:vertAlign w:val="subscript"/>
          <w:lang w:val="el-GR"/>
        </w:rPr>
        <w:t>65</w:t>
      </w:r>
      <w:r w:rsidRPr="00B4640F">
        <w:rPr>
          <w:rFonts w:asciiTheme="minorHAnsi" w:eastAsia="SimSun" w:hAnsiTheme="minorHAnsi" w:cstheme="minorHAnsi"/>
          <w:lang w:val="el-GR"/>
        </w:rPr>
        <w:t xml:space="preserve"> = 1, πρόκειται να διακοπεί για ασφαλισμένο ηλικίας σήμερα 50 ετών. Η συσσωρευμένη παροχή στα 50 ισούται προς B</w:t>
      </w:r>
      <w:r w:rsidRPr="00B4640F">
        <w:rPr>
          <w:rFonts w:asciiTheme="minorHAnsi" w:eastAsia="SimSun" w:hAnsiTheme="minorHAnsi" w:cstheme="minorHAnsi"/>
          <w:vertAlign w:val="subscript"/>
          <w:lang w:val="el-GR"/>
        </w:rPr>
        <w:t xml:space="preserve">50 </w:t>
      </w:r>
      <w:r w:rsidRPr="00B4640F">
        <w:rPr>
          <w:rFonts w:asciiTheme="minorHAnsi" w:eastAsia="SimSun" w:hAnsiTheme="minorHAnsi" w:cstheme="minorHAnsi"/>
          <w:lang w:val="el-GR"/>
        </w:rPr>
        <w:t xml:space="preserve"> = </w:t>
      </w:r>
      <m:oMath>
        <m:f>
          <m:fPr>
            <m:ctrlPr>
              <w:rPr>
                <w:rFonts w:ascii="Cambria Math" w:eastAsia="SimSun" w:hAnsiTheme="minorHAnsi" w:cstheme="minorHAnsi"/>
                <w:i/>
                <w:lang w:val="el-GR"/>
              </w:rPr>
            </m:ctrlPr>
          </m:fPr>
          <m:num>
            <m:r>
              <w:rPr>
                <w:rFonts w:ascii="Cambria Math" w:eastAsia="SimSun" w:hAnsiTheme="minorHAnsi" w:cstheme="minorHAnsi"/>
                <w:lang w:val="el-GR"/>
              </w:rPr>
              <m:t>14</m:t>
            </m:r>
          </m:num>
          <m:den>
            <m:r>
              <w:rPr>
                <w:rFonts w:ascii="Cambria Math" w:eastAsia="SimSun" w:hAnsiTheme="minorHAnsi" w:cstheme="minorHAnsi"/>
                <w:lang w:val="el-GR"/>
              </w:rPr>
              <m:t>35</m:t>
            </m:r>
          </m:den>
        </m:f>
      </m:oMath>
      <w:r w:rsidR="00DD1CB8" w:rsidRPr="00870379">
        <w:rPr>
          <w:rFonts w:asciiTheme="minorHAnsi" w:eastAsia="SimSun" w:hAnsiTheme="minorHAnsi" w:cstheme="minorHAnsi"/>
          <w:lang w:val="el-GR"/>
        </w:rPr>
        <w:t xml:space="preserve"> </w:t>
      </w:r>
      <w:r w:rsidRPr="00B4640F">
        <w:rPr>
          <w:rFonts w:asciiTheme="minorHAnsi" w:eastAsia="SimSun" w:hAnsiTheme="minorHAnsi" w:cstheme="minorHAnsi"/>
          <w:lang w:val="el-GR"/>
        </w:rPr>
        <w:t xml:space="preserve">,  </w:t>
      </w:r>
      <m:oMath>
        <m:sSub>
          <m:sSubPr>
            <m:ctrlPr>
              <w:rPr>
                <w:rFonts w:ascii="Cambria Math" w:eastAsia="SimSun" w:hAnsiTheme="minorHAnsi" w:cstheme="minorHAnsi"/>
                <w:lang w:val="el-GR"/>
              </w:rPr>
            </m:ctrlPr>
          </m:sSubPr>
          <m:e>
            <m:sPre>
              <m:sPrePr>
                <m:ctrlPr>
                  <w:rPr>
                    <w:rFonts w:ascii="Cambria Math" w:eastAsia="SimSun" w:hAnsiTheme="minorHAnsi" w:cstheme="minorHAnsi"/>
                    <w:lang w:val="el-GR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="SimSun" w:hAnsiTheme="minorHAnsi" w:cstheme="minorHAnsi"/>
                    <w:lang w:val="el-GR"/>
                  </w:rPr>
                  <m:t xml:space="preserve"> 15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SimSun" w:hAnsiTheme="minorHAnsi" w:cstheme="minorHAnsi"/>
                    <w:lang w:val="el-GR"/>
                  </w:rPr>
                  <m:t>p</m:t>
                </m:r>
              </m:e>
            </m:sPre>
          </m:e>
          <m:sub>
            <m:r>
              <m:rPr>
                <m:sty m:val="p"/>
              </m:rPr>
              <w:rPr>
                <w:rFonts w:ascii="Cambria Math" w:eastAsia="SimSun" w:hAnsiTheme="minorHAnsi" w:cstheme="minorHAnsi"/>
                <w:lang w:val="el-GR"/>
              </w:rPr>
              <m:t>50</m:t>
            </m:r>
          </m:sub>
        </m:sSub>
      </m:oMath>
      <w:r w:rsidRPr="00B4640F">
        <w:rPr>
          <w:rFonts w:asciiTheme="minorHAnsi" w:eastAsia="SimSun" w:hAnsiTheme="minorHAnsi" w:cstheme="minorHAnsi"/>
          <w:lang w:val="el-GR"/>
        </w:rPr>
        <w:t xml:space="preserve"> =0,93. Αν η υποχρέωση σε περίπτωση διακοπής (τερματισμού) του προγράμματος, (TPL)</w:t>
      </w:r>
      <w:r w:rsidRPr="00B4640F">
        <w:rPr>
          <w:rFonts w:asciiTheme="minorHAnsi" w:eastAsia="SimSun" w:hAnsiTheme="minorHAnsi" w:cstheme="minorHAnsi"/>
          <w:vertAlign w:val="subscript"/>
          <w:lang w:val="el-GR"/>
        </w:rPr>
        <w:t>50</w:t>
      </w:r>
      <w:r w:rsidRPr="00B4640F">
        <w:rPr>
          <w:rFonts w:asciiTheme="minorHAnsi" w:eastAsia="SimSun" w:hAnsiTheme="minorHAnsi" w:cstheme="minorHAnsi"/>
          <w:lang w:val="el-GR"/>
        </w:rPr>
        <w:t>, είναι ίση με την υποχρέωση υπό καθεστώς συνέχισης του προγράμματος (CPL)</w:t>
      </w:r>
      <w:r w:rsidRPr="00B4640F">
        <w:rPr>
          <w:rFonts w:asciiTheme="minorHAnsi" w:eastAsia="SimSun" w:hAnsiTheme="minorHAnsi" w:cstheme="minorHAnsi"/>
          <w:vertAlign w:val="subscript"/>
          <w:lang w:val="el-GR"/>
        </w:rPr>
        <w:t>50</w:t>
      </w:r>
      <w:r w:rsidRPr="00B4640F">
        <w:rPr>
          <w:rFonts w:asciiTheme="minorHAnsi" w:eastAsia="SimSun" w:hAnsiTheme="minorHAnsi" w:cstheme="minorHAnsi"/>
          <w:lang w:val="el-GR"/>
        </w:rPr>
        <w:t xml:space="preserve"> ποια η τιμή της πιθανότητας παραμονής στην υπηρεσία μέχρι την ηλικία κανονικής συνταξιοδότησης </w:t>
      </w:r>
      <m:oMath>
        <m:sSubSup>
          <m:sSubSupPr>
            <m:ctrlPr>
              <w:rPr>
                <w:rFonts w:ascii="Cambria Math" w:eastAsia="SimSun" w:hAnsiTheme="minorHAnsi" w:cstheme="minorHAnsi"/>
                <w:lang w:val="el-GR"/>
              </w:rPr>
            </m:ctrlPr>
          </m:sSubSupPr>
          <m:e>
            <m:sPre>
              <m:sPrePr>
                <m:ctrlPr>
                  <w:rPr>
                    <w:rFonts w:ascii="Cambria Math" w:eastAsia="SimSun" w:hAnsiTheme="minorHAnsi" w:cstheme="minorHAnsi"/>
                    <w:lang w:val="el-GR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eastAsia="SimSun" w:hAnsiTheme="minorHAnsi" w:cstheme="minorHAnsi"/>
                    <w:lang w:val="el-GR"/>
                  </w:rPr>
                  <m:t>15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eastAsia="SimSun" w:hAnsiTheme="minorHAnsi" w:cstheme="minorHAnsi"/>
                    <w:lang w:val="el-GR"/>
                  </w:rPr>
                  <m:t>p</m:t>
                </m:r>
              </m:e>
            </m:sPre>
          </m:e>
          <m:sub>
            <m:r>
              <m:rPr>
                <m:sty m:val="p"/>
              </m:rPr>
              <w:rPr>
                <w:rFonts w:ascii="Cambria Math" w:eastAsia="SimSun" w:hAnsiTheme="minorHAnsi" w:cstheme="minorHAnsi"/>
                <w:lang w:val="el-GR"/>
              </w:rPr>
              <m:t>50</m:t>
            </m:r>
          </m:sub>
          <m:sup>
            <m:r>
              <m:rPr>
                <m:sty m:val="p"/>
              </m:rPr>
              <w:rPr>
                <w:rFonts w:ascii="Cambria Math" w:eastAsia="SimSun" w:hAnsiTheme="minorHAnsi" w:cstheme="minorHAnsi"/>
                <w:lang w:val="el-GR"/>
              </w:rPr>
              <m:t>(T)</m:t>
            </m:r>
          </m:sup>
        </m:sSubSup>
      </m:oMath>
      <w:r w:rsidRPr="00B4640F">
        <w:rPr>
          <w:rFonts w:asciiTheme="minorHAnsi" w:eastAsia="SimSun" w:hAnsiTheme="minorHAnsi" w:cstheme="minorHAnsi"/>
          <w:lang w:val="el-GR"/>
        </w:rPr>
        <w:t>;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A) 0,6510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B) 0,6483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C) 0,6456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D) 0,6429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n-US"/>
        </w:rPr>
      </w:pPr>
      <w:r w:rsidRPr="00B4640F">
        <w:rPr>
          <w:rFonts w:asciiTheme="minorHAnsi" w:eastAsia="SimSun" w:hAnsiTheme="minorHAnsi" w:cstheme="minorHAnsi"/>
          <w:lang w:val="el-GR"/>
        </w:rPr>
        <w:t>E) 0,6402</w:t>
      </w:r>
    </w:p>
    <w:p w:rsidR="002A2521" w:rsidRPr="00B4640F" w:rsidRDefault="002A2521">
      <w:pPr>
        <w:rPr>
          <w:rFonts w:asciiTheme="minorHAnsi" w:eastAsia="SimSun" w:hAnsiTheme="minorHAnsi" w:cstheme="minorHAnsi"/>
          <w:sz w:val="20"/>
          <w:szCs w:val="20"/>
          <w:lang w:val="en-US" w:eastAsia="zh-CN"/>
        </w:rPr>
      </w:pPr>
      <w:r w:rsidRPr="00B4640F">
        <w:rPr>
          <w:rFonts w:asciiTheme="minorHAnsi" w:eastAsia="SimSun" w:hAnsiTheme="minorHAnsi" w:cstheme="minorHAnsi"/>
          <w:sz w:val="20"/>
          <w:szCs w:val="20"/>
          <w:lang w:val="en-US"/>
        </w:rPr>
        <w:br w:type="page"/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Κάτω από την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Unit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Credit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η συσσωρευμένη παροχή στην ηλικία x,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Βx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, ισούται προς 56,52%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Βr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, όπου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Βr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η παροχή στην ηλικία κανονικής συνταξιοδότησης r. Εάν η ηλικία εισόδου e είναι ίση με τη διαφορά r – x, τότε η ηλικία κανονικής συνταξιοδότησης r ισούται προς: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A) 1,8*e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B) 1,9*e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C) 2,5*e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D) 3,1*e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E) 3,3*e</w:t>
      </w: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Σε συνταξιοδοτικό πλάνο που ξεκινά την 1/1/t με παροχή το 45% του τελικού μισθού εφαρμόζεται η Μέθοδος Ατομικού Σταθερού Ασφαλίστρου (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Individual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Level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Premium). Το επιτόκιο είναι 7%, η αύξηση αποδοχών 0% και δεν υπάρχει κανένα αίτιο εξόδου μέχρι την συνταξιοδότηση στα 65. Εάν το κανονικό κόστος του μοναδικού ασφαλισμένου ηλικίας 50 ετών την 1/1/t είναι €4.000, ο ετήσιος μισθός του €25.000 και γνωρίζουμε ότι την 1/1/t+1 ο μισθός αυτός διπλασιάζεται, τότε την 1/1/t+1 θα πρέπει να καταβληθεί επιπλέον κόστος ίσο προς: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A)</w:t>
      </w:r>
      <w:r w:rsidRPr="00B4640F">
        <w:rPr>
          <w:rFonts w:asciiTheme="minorHAnsi" w:eastAsia="SimSun" w:hAnsiTheme="minorHAnsi" w:cstheme="minorHAnsi"/>
          <w:lang w:val="el-GR"/>
        </w:rPr>
        <w:tab/>
        <w:t>€4.000,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B)</w:t>
      </w:r>
      <w:r w:rsidRPr="00B4640F">
        <w:rPr>
          <w:rFonts w:asciiTheme="minorHAnsi" w:eastAsia="SimSun" w:hAnsiTheme="minorHAnsi" w:cstheme="minorHAnsi"/>
          <w:lang w:val="el-GR"/>
        </w:rPr>
        <w:tab/>
        <w:t>€4.166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C)</w:t>
      </w:r>
      <w:r w:rsidRPr="00B4640F">
        <w:rPr>
          <w:rFonts w:asciiTheme="minorHAnsi" w:eastAsia="SimSun" w:hAnsiTheme="minorHAnsi" w:cstheme="minorHAnsi"/>
          <w:lang w:val="el-GR"/>
        </w:rPr>
        <w:tab/>
        <w:t>€4.380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D)</w:t>
      </w:r>
      <w:r w:rsidRPr="00B4640F">
        <w:rPr>
          <w:rFonts w:asciiTheme="minorHAnsi" w:eastAsia="SimSun" w:hAnsiTheme="minorHAnsi" w:cstheme="minorHAnsi"/>
          <w:lang w:val="el-GR"/>
        </w:rPr>
        <w:tab/>
        <w:t>€4.457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E)</w:t>
      </w:r>
      <w:r w:rsidRPr="00B4640F">
        <w:rPr>
          <w:rFonts w:asciiTheme="minorHAnsi" w:eastAsia="SimSun" w:hAnsiTheme="minorHAnsi" w:cstheme="minorHAnsi"/>
          <w:lang w:val="el-GR"/>
        </w:rPr>
        <w:tab/>
        <w:t>€4.915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n-US"/>
        </w:rPr>
      </w:pP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 xml:space="preserve"> </w:t>
      </w:r>
    </w:p>
    <w:p w:rsidR="005F4759" w:rsidRPr="00B4640F" w:rsidRDefault="005F4759" w:rsidP="005F4759">
      <w:pPr>
        <w:pStyle w:val="ac"/>
        <w:numPr>
          <w:ilvl w:val="0"/>
          <w:numId w:val="15"/>
        </w:numPr>
        <w:spacing w:after="120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Σε συνταξιοδοτικό σχήμα όπου εφαρμόζεται η μέθοδος παγωμένης αρχικής υποχρέωσης (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Frozen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Initial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lang w:val="el-GR"/>
        </w:rPr>
        <w:t>Liability</w:t>
      </w:r>
      <w:proofErr w:type="spellEnd"/>
      <w:r w:rsidRPr="00B4640F">
        <w:rPr>
          <w:rFonts w:asciiTheme="minorHAnsi" w:eastAsia="SimSun" w:hAnsiTheme="minorHAnsi" w:cstheme="minorHAnsi"/>
          <w:lang w:val="el-GR"/>
        </w:rPr>
        <w:t>), κατά την 1/1/t το κανονικό κόστος (NC) ισούται προς €11.250, η πρόσθετη υποχρέωση λόγω αναγνώρισης προϋπηρεσίας €150.000, η περιουσία €300.000, το ετήσιο μισθολόγιο €225.000 και η παρούσα αξία των μελλοντικών αποδοχών €2.500.000. Εάν κατά την ημερομηνία αυτή αλλάζει η μέθοδος κοστολόγησης σε Aggregate (αθροιστική), τότε το κανονικό κόστος (NC), την 1/1/t, θα ισούται προς:</w:t>
      </w:r>
    </w:p>
    <w:p w:rsidR="005F4759" w:rsidRPr="00B4640F" w:rsidRDefault="005F4759" w:rsidP="005F4759">
      <w:pPr>
        <w:pStyle w:val="ac"/>
        <w:spacing w:after="120"/>
        <w:ind w:left="360"/>
        <w:jc w:val="both"/>
        <w:rPr>
          <w:rFonts w:asciiTheme="minorHAnsi" w:eastAsia="SimSun" w:hAnsiTheme="minorHAnsi" w:cstheme="minorHAnsi"/>
          <w:lang w:val="el-GR"/>
        </w:rPr>
      </w:pP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A) € 11.250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B) € 22.500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C) € 24.750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D) € 27.000</w:t>
      </w:r>
    </w:p>
    <w:p w:rsidR="005F4759" w:rsidRPr="00B4640F" w:rsidRDefault="005F4759" w:rsidP="005F4759">
      <w:pPr>
        <w:pStyle w:val="ac"/>
        <w:spacing w:after="120" w:line="276" w:lineRule="auto"/>
        <w:ind w:left="1077" w:hanging="357"/>
        <w:jc w:val="both"/>
        <w:rPr>
          <w:rFonts w:asciiTheme="minorHAnsi" w:eastAsia="SimSun" w:hAnsiTheme="minorHAnsi" w:cstheme="minorHAnsi"/>
          <w:lang w:val="el-GR"/>
        </w:rPr>
      </w:pPr>
      <w:r w:rsidRPr="00B4640F">
        <w:rPr>
          <w:rFonts w:asciiTheme="minorHAnsi" w:eastAsia="SimSun" w:hAnsiTheme="minorHAnsi" w:cstheme="minorHAnsi"/>
          <w:lang w:val="el-GR"/>
        </w:rPr>
        <w:t>E) € 13.500</w:t>
      </w:r>
    </w:p>
    <w:p w:rsidR="002A2521" w:rsidRPr="00B4640F" w:rsidRDefault="002A2521">
      <w:pPr>
        <w:rPr>
          <w:rFonts w:asciiTheme="minorHAnsi" w:eastAsia="SimSun" w:hAnsiTheme="minorHAnsi" w:cstheme="minorHAnsi"/>
          <w:sz w:val="20"/>
          <w:szCs w:val="20"/>
          <w:lang w:val="el-GR" w:eastAsia="zh-CN"/>
        </w:rPr>
      </w:pPr>
      <w:r w:rsidRPr="00B4640F">
        <w:rPr>
          <w:rFonts w:asciiTheme="minorHAnsi" w:eastAsia="SimSun" w:hAnsiTheme="minorHAnsi" w:cstheme="minorHAnsi"/>
          <w:sz w:val="20"/>
          <w:szCs w:val="20"/>
          <w:lang w:val="el-GR"/>
        </w:rPr>
        <w:br w:type="page"/>
      </w:r>
    </w:p>
    <w:p w:rsidR="005F4759" w:rsidRPr="00B4640F" w:rsidRDefault="005F4759" w:rsidP="005F4759">
      <w:pPr>
        <w:pStyle w:val="a3"/>
        <w:numPr>
          <w:ilvl w:val="0"/>
          <w:numId w:val="15"/>
        </w:numPr>
        <w:spacing w:before="0"/>
        <w:jc w:val="both"/>
        <w:rPr>
          <w:rFonts w:asciiTheme="minorHAnsi" w:eastAsia="SimSun" w:hAnsiTheme="minorHAnsi" w:cstheme="minorHAnsi"/>
          <w:b w:val="0"/>
          <w:szCs w:val="20"/>
        </w:rPr>
      </w:pPr>
      <w:r w:rsidRPr="00B4640F">
        <w:rPr>
          <w:rFonts w:asciiTheme="minorHAnsi" w:eastAsia="SimSun" w:hAnsiTheme="minorHAnsi" w:cstheme="minorHAnsi"/>
          <w:b w:val="0"/>
          <w:szCs w:val="20"/>
        </w:rPr>
        <w:lastRenderedPageBreak/>
        <w:t>Οι κινήσεις και το ύψος του λογαριασμού για την διετία 1/1/t  - 31/12/t+1 έχουν ως εξής:</w:t>
      </w:r>
    </w:p>
    <w:tbl>
      <w:tblPr>
        <w:tblW w:w="0" w:type="auto"/>
        <w:jc w:val="center"/>
        <w:tblLayout w:type="fixed"/>
        <w:tblLook w:val="0000"/>
      </w:tblPr>
      <w:tblGrid>
        <w:gridCol w:w="2023"/>
        <w:gridCol w:w="1521"/>
        <w:gridCol w:w="2349"/>
      </w:tblGrid>
      <w:tr w:rsidR="005F4759" w:rsidRPr="00BF1F14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pStyle w:val="a3"/>
              <w:jc w:val="both"/>
              <w:rPr>
                <w:rFonts w:asciiTheme="minorHAnsi" w:eastAsia="SimSun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eastAsia="SimSun" w:hAnsiTheme="minorHAnsi" w:cstheme="minorHAnsi"/>
                <w:b w:val="0"/>
                <w:szCs w:val="20"/>
              </w:rPr>
              <w:t>Ημερομηνία</w:t>
            </w:r>
          </w:p>
        </w:tc>
        <w:tc>
          <w:tcPr>
            <w:tcW w:w="1521" w:type="dxa"/>
          </w:tcPr>
          <w:p w:rsidR="005F4759" w:rsidRPr="00B4640F" w:rsidRDefault="005F4759" w:rsidP="00D2658C">
            <w:pPr>
              <w:pStyle w:val="a3"/>
              <w:jc w:val="both"/>
              <w:rPr>
                <w:rFonts w:asciiTheme="minorHAnsi" w:eastAsia="SimSun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eastAsia="SimSun" w:hAnsiTheme="minorHAnsi" w:cstheme="minorHAnsi"/>
                <w:b w:val="0"/>
                <w:szCs w:val="20"/>
              </w:rPr>
              <w:t>Κίνηση</w:t>
            </w:r>
          </w:p>
        </w:tc>
        <w:tc>
          <w:tcPr>
            <w:tcW w:w="2349" w:type="dxa"/>
          </w:tcPr>
          <w:p w:rsidR="005F4759" w:rsidRPr="00B4640F" w:rsidRDefault="005F4759" w:rsidP="00D2658C">
            <w:pPr>
              <w:pStyle w:val="a3"/>
              <w:jc w:val="both"/>
              <w:rPr>
                <w:rFonts w:asciiTheme="minorHAnsi" w:eastAsia="SimSun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eastAsia="SimSun" w:hAnsiTheme="minorHAnsi" w:cstheme="minorHAnsi"/>
                <w:b w:val="0"/>
                <w:szCs w:val="20"/>
              </w:rPr>
              <w:t>Ύψος Λογαριασμού μετά την Κίνηση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1/1/x</w:t>
            </w:r>
          </w:p>
        </w:tc>
        <w:tc>
          <w:tcPr>
            <w:tcW w:w="1521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1000</w:t>
            </w:r>
          </w:p>
        </w:tc>
        <w:tc>
          <w:tcPr>
            <w:tcW w:w="2349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1000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1/4/x</w:t>
            </w:r>
          </w:p>
        </w:tc>
        <w:tc>
          <w:tcPr>
            <w:tcW w:w="1521" w:type="dxa"/>
            <w:vAlign w:val="center"/>
          </w:tcPr>
          <w:p w:rsidR="005F4759" w:rsidRPr="00B4640F" w:rsidRDefault="00605618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="005F4759"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300</w:t>
            </w:r>
          </w:p>
        </w:tc>
        <w:tc>
          <w:tcPr>
            <w:tcW w:w="2349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1200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31/12/x</w:t>
            </w:r>
          </w:p>
        </w:tc>
        <w:tc>
          <w:tcPr>
            <w:tcW w:w="1521" w:type="dxa"/>
            <w:vAlign w:val="center"/>
          </w:tcPr>
          <w:p w:rsidR="005F4759" w:rsidRPr="00B4640F" w:rsidRDefault="00605618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="005F4759"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100</w:t>
            </w:r>
          </w:p>
        </w:tc>
        <w:tc>
          <w:tcPr>
            <w:tcW w:w="2349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1300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1/7/x+1</w:t>
            </w:r>
          </w:p>
        </w:tc>
        <w:tc>
          <w:tcPr>
            <w:tcW w:w="1521" w:type="dxa"/>
            <w:vAlign w:val="center"/>
          </w:tcPr>
          <w:p w:rsidR="005F4759" w:rsidRPr="00B4640F" w:rsidRDefault="00605618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n-US"/>
              </w:rPr>
              <w:t xml:space="preserve"> </w:t>
            </w:r>
            <w:r w:rsidR="005F4759"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-200</w:t>
            </w:r>
          </w:p>
        </w:tc>
        <w:tc>
          <w:tcPr>
            <w:tcW w:w="2349" w:type="dxa"/>
            <w:vAlign w:val="center"/>
          </w:tcPr>
          <w:p w:rsidR="005F4759" w:rsidRPr="00B4640F" w:rsidRDefault="00605618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n-US"/>
              </w:rPr>
              <w:t xml:space="preserve">   </w:t>
            </w:r>
            <w:r w:rsidR="005F4759"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900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1/10/x+1</w:t>
            </w:r>
          </w:p>
        </w:tc>
        <w:tc>
          <w:tcPr>
            <w:tcW w:w="1521" w:type="dxa"/>
            <w:vAlign w:val="center"/>
          </w:tcPr>
          <w:p w:rsidR="005F4759" w:rsidRPr="00B4640F" w:rsidRDefault="00605618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="005F4759"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450</w:t>
            </w:r>
          </w:p>
        </w:tc>
        <w:tc>
          <w:tcPr>
            <w:tcW w:w="2349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1000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1/11/x+1</w:t>
            </w:r>
          </w:p>
        </w:tc>
        <w:tc>
          <w:tcPr>
            <w:tcW w:w="1521" w:type="dxa"/>
            <w:vAlign w:val="center"/>
          </w:tcPr>
          <w:p w:rsidR="005F4759" w:rsidRPr="00B4640F" w:rsidRDefault="00605618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n-US"/>
              </w:rPr>
              <w:t xml:space="preserve">  </w:t>
            </w:r>
            <w:r w:rsidR="005F4759"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150</w:t>
            </w:r>
          </w:p>
        </w:tc>
        <w:tc>
          <w:tcPr>
            <w:tcW w:w="2349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2500</w:t>
            </w:r>
          </w:p>
        </w:tc>
      </w:tr>
      <w:tr w:rsidR="005F4759" w:rsidRPr="00B4640F" w:rsidTr="00D2658C">
        <w:trPr>
          <w:jc w:val="center"/>
        </w:trPr>
        <w:tc>
          <w:tcPr>
            <w:tcW w:w="2023" w:type="dxa"/>
          </w:tcPr>
          <w:p w:rsidR="005F4759" w:rsidRPr="00B4640F" w:rsidRDefault="005F4759" w:rsidP="00D2658C">
            <w:pPr>
              <w:spacing w:after="120"/>
              <w:jc w:val="both"/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31/12/x+1</w:t>
            </w:r>
          </w:p>
        </w:tc>
        <w:tc>
          <w:tcPr>
            <w:tcW w:w="1521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-100</w:t>
            </w:r>
          </w:p>
        </w:tc>
        <w:tc>
          <w:tcPr>
            <w:tcW w:w="2349" w:type="dxa"/>
            <w:vAlign w:val="center"/>
          </w:tcPr>
          <w:p w:rsidR="005F4759" w:rsidRPr="00B4640F" w:rsidRDefault="005F4759" w:rsidP="00D2658C">
            <w:pPr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l-GR"/>
              </w:rPr>
            </w:pPr>
            <w:r w:rsidRPr="00B4640F">
              <w:rPr>
                <w:rFonts w:asciiTheme="minorHAnsi" w:eastAsia="SimSun" w:hAnsiTheme="minorHAnsi" w:cstheme="minorHAnsi"/>
                <w:snapToGrid w:val="0"/>
                <w:sz w:val="20"/>
                <w:szCs w:val="20"/>
                <w:lang w:val="el-GR"/>
              </w:rPr>
              <w:t>2300</w:t>
            </w:r>
          </w:p>
        </w:tc>
      </w:tr>
    </w:tbl>
    <w:p w:rsidR="005F4759" w:rsidRPr="00B4640F" w:rsidRDefault="005F4759" w:rsidP="004C44FA">
      <w:pPr>
        <w:pStyle w:val="a3"/>
        <w:jc w:val="both"/>
        <w:rPr>
          <w:rFonts w:asciiTheme="minorHAnsi" w:eastAsia="SimSun" w:hAnsiTheme="minorHAnsi" w:cstheme="minorHAnsi"/>
          <w:b w:val="0"/>
          <w:szCs w:val="20"/>
        </w:rPr>
      </w:pPr>
      <w:r w:rsidRPr="00B4640F">
        <w:rPr>
          <w:rFonts w:asciiTheme="minorHAnsi" w:eastAsia="SimSun" w:hAnsiTheme="minorHAnsi" w:cstheme="minorHAnsi"/>
          <w:b w:val="0"/>
          <w:szCs w:val="20"/>
        </w:rPr>
        <w:t>Ποιο η ετήσια χρονοσταθμισμένη απόδοση (</w:t>
      </w:r>
      <w:proofErr w:type="spellStart"/>
      <w:r w:rsidRPr="00B4640F">
        <w:rPr>
          <w:rFonts w:asciiTheme="minorHAnsi" w:eastAsia="SimSun" w:hAnsiTheme="minorHAnsi" w:cstheme="minorHAnsi"/>
          <w:b w:val="0"/>
          <w:szCs w:val="20"/>
        </w:rPr>
        <w:t>time</w:t>
      </w:r>
      <w:proofErr w:type="spellEnd"/>
      <w:r w:rsidRPr="00B4640F">
        <w:rPr>
          <w:rFonts w:asciiTheme="minorHAnsi" w:eastAsia="SimSun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b w:val="0"/>
          <w:szCs w:val="20"/>
        </w:rPr>
        <w:t>weighted</w:t>
      </w:r>
      <w:proofErr w:type="spellEnd"/>
      <w:r w:rsidRPr="00B4640F">
        <w:rPr>
          <w:rFonts w:asciiTheme="minorHAnsi" w:eastAsia="SimSun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b w:val="0"/>
          <w:szCs w:val="20"/>
        </w:rPr>
        <w:t>annual</w:t>
      </w:r>
      <w:proofErr w:type="spellEnd"/>
      <w:r w:rsidRPr="00B4640F">
        <w:rPr>
          <w:rFonts w:asciiTheme="minorHAnsi" w:eastAsia="SimSun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eastAsia="SimSun" w:hAnsiTheme="minorHAnsi" w:cstheme="minorHAnsi"/>
          <w:b w:val="0"/>
          <w:szCs w:val="20"/>
        </w:rPr>
        <w:t>rate</w:t>
      </w:r>
      <w:proofErr w:type="spellEnd"/>
      <w:r w:rsidRPr="00B4640F">
        <w:rPr>
          <w:rFonts w:asciiTheme="minorHAnsi" w:eastAsia="SimSun" w:hAnsiTheme="minorHAnsi" w:cstheme="minorHAnsi"/>
          <w:b w:val="0"/>
          <w:szCs w:val="20"/>
        </w:rPr>
        <w:t xml:space="preserve"> of </w:t>
      </w:r>
      <w:proofErr w:type="spellStart"/>
      <w:r w:rsidRPr="00B4640F">
        <w:rPr>
          <w:rFonts w:asciiTheme="minorHAnsi" w:eastAsia="SimSun" w:hAnsiTheme="minorHAnsi" w:cstheme="minorHAnsi"/>
          <w:b w:val="0"/>
          <w:szCs w:val="20"/>
        </w:rPr>
        <w:t>return</w:t>
      </w:r>
      <w:proofErr w:type="spellEnd"/>
      <w:r w:rsidRPr="00B4640F">
        <w:rPr>
          <w:rFonts w:asciiTheme="minorHAnsi" w:eastAsia="SimSun" w:hAnsiTheme="minorHAnsi" w:cstheme="minorHAnsi"/>
          <w:b w:val="0"/>
          <w:szCs w:val="20"/>
        </w:rPr>
        <w:t>) για την συγκεκριμένη περίοδο;</w:t>
      </w:r>
    </w:p>
    <w:p w:rsidR="005F4759" w:rsidRPr="00B4640F" w:rsidRDefault="005F4759" w:rsidP="005F4759">
      <w:pPr>
        <w:pStyle w:val="a3"/>
        <w:numPr>
          <w:ilvl w:val="0"/>
          <w:numId w:val="29"/>
        </w:numPr>
        <w:spacing w:before="0" w:line="276" w:lineRule="auto"/>
        <w:ind w:left="1077" w:hanging="357"/>
        <w:jc w:val="both"/>
        <w:rPr>
          <w:rFonts w:asciiTheme="minorHAnsi" w:eastAsia="SimSun" w:hAnsiTheme="minorHAnsi" w:cstheme="minorHAnsi"/>
          <w:b w:val="0"/>
          <w:szCs w:val="20"/>
        </w:rPr>
      </w:pPr>
      <w:r w:rsidRPr="00B4640F">
        <w:rPr>
          <w:rFonts w:asciiTheme="minorHAnsi" w:eastAsia="SimSun" w:hAnsiTheme="minorHAnsi" w:cstheme="minorHAnsi"/>
          <w:b w:val="0"/>
          <w:szCs w:val="20"/>
        </w:rPr>
        <w:t>6,03%</w:t>
      </w:r>
    </w:p>
    <w:p w:rsidR="005F4759" w:rsidRPr="00B4640F" w:rsidRDefault="005F4759" w:rsidP="005F4759">
      <w:pPr>
        <w:pStyle w:val="a3"/>
        <w:numPr>
          <w:ilvl w:val="0"/>
          <w:numId w:val="29"/>
        </w:numPr>
        <w:spacing w:before="0" w:line="276" w:lineRule="auto"/>
        <w:ind w:left="1077" w:hanging="357"/>
        <w:jc w:val="both"/>
        <w:rPr>
          <w:rFonts w:asciiTheme="minorHAnsi" w:eastAsia="SimSun" w:hAnsiTheme="minorHAnsi" w:cstheme="minorHAnsi"/>
          <w:b w:val="0"/>
          <w:szCs w:val="20"/>
        </w:rPr>
      </w:pPr>
      <w:r w:rsidRPr="00B4640F">
        <w:rPr>
          <w:rFonts w:asciiTheme="minorHAnsi" w:eastAsia="SimSun" w:hAnsiTheme="minorHAnsi" w:cstheme="minorHAnsi"/>
          <w:b w:val="0"/>
          <w:szCs w:val="20"/>
        </w:rPr>
        <w:t>5,54%</w:t>
      </w:r>
    </w:p>
    <w:p w:rsidR="005F4759" w:rsidRPr="00B4640F" w:rsidRDefault="005F4759" w:rsidP="005F4759">
      <w:pPr>
        <w:pStyle w:val="a3"/>
        <w:numPr>
          <w:ilvl w:val="0"/>
          <w:numId w:val="29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eastAsia="SimSun" w:hAnsiTheme="minorHAnsi" w:cstheme="minorHAnsi"/>
          <w:b w:val="0"/>
          <w:szCs w:val="20"/>
        </w:rPr>
        <w:t>5,4</w:t>
      </w:r>
      <w:r w:rsidRPr="00B4640F">
        <w:rPr>
          <w:rFonts w:asciiTheme="minorHAnsi" w:hAnsiTheme="minorHAnsi" w:cstheme="minorHAnsi"/>
          <w:b w:val="0"/>
          <w:szCs w:val="20"/>
        </w:rPr>
        <w:t>7%</w:t>
      </w:r>
    </w:p>
    <w:p w:rsidR="005F4759" w:rsidRPr="00B4640F" w:rsidRDefault="005F4759" w:rsidP="005F4759">
      <w:pPr>
        <w:pStyle w:val="a3"/>
        <w:numPr>
          <w:ilvl w:val="0"/>
          <w:numId w:val="29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4,83%</w:t>
      </w:r>
    </w:p>
    <w:p w:rsidR="005F4759" w:rsidRPr="00B4640F" w:rsidRDefault="005F4759" w:rsidP="005F4759">
      <w:pPr>
        <w:pStyle w:val="a3"/>
        <w:numPr>
          <w:ilvl w:val="0"/>
          <w:numId w:val="29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2,47%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>Ποιο από τα παρακάτω αληθεύει;</w:t>
      </w:r>
    </w:p>
    <w:p w:rsidR="005F4759" w:rsidRPr="00B4640F" w:rsidRDefault="005F4759" w:rsidP="005F4759">
      <w:pPr>
        <w:pStyle w:val="ac"/>
        <w:numPr>
          <w:ilvl w:val="0"/>
          <w:numId w:val="21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Η κύρια σύνταξη ανήκει στον 1</w:t>
      </w:r>
      <w:r w:rsidRPr="00B4640F">
        <w:rPr>
          <w:rFonts w:asciiTheme="minorHAnsi" w:hAnsiTheme="minorHAnsi" w:cstheme="minorHAnsi"/>
          <w:vertAlign w:val="superscript"/>
          <w:lang w:val="el-GR"/>
        </w:rPr>
        <w:t>ο</w:t>
      </w:r>
      <w:r w:rsidRPr="00B4640F">
        <w:rPr>
          <w:rFonts w:asciiTheme="minorHAnsi" w:hAnsiTheme="minorHAnsi" w:cstheme="minorHAnsi"/>
          <w:lang w:val="el-GR"/>
        </w:rPr>
        <w:t xml:space="preserve"> Πυλώνα κοινωνικής ασφάλισης διότι αποδίδεται από κάθε φορέα κοινωνικής ασφάλισης και είναι υποχρεωτική.</w:t>
      </w:r>
    </w:p>
    <w:p w:rsidR="005F4759" w:rsidRPr="00B4640F" w:rsidRDefault="005F4759" w:rsidP="005F4759">
      <w:pPr>
        <w:pStyle w:val="ac"/>
        <w:numPr>
          <w:ilvl w:val="0"/>
          <w:numId w:val="21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Το ασφάλιστρο PAYG* είναι ανεξάρτητο της έντασης ανατοκισμού δ και της έντασης μεταβολής των μισθών. </w:t>
      </w:r>
    </w:p>
    <w:p w:rsidR="005F4759" w:rsidRPr="00B4640F" w:rsidRDefault="005F4759" w:rsidP="005F4759">
      <w:pPr>
        <w:pStyle w:val="ac"/>
        <w:numPr>
          <w:ilvl w:val="0"/>
          <w:numId w:val="21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Τα ταμεία κοινωνικής  ασφάλισης είναι υπό την εποπτεία του υπουργείου Απασχόλησης και Κοινωνικής Προστασίας</w:t>
      </w:r>
    </w:p>
    <w:p w:rsidR="005F4759" w:rsidRPr="00B4640F" w:rsidRDefault="005F4759" w:rsidP="005F4759">
      <w:pPr>
        <w:pStyle w:val="a3"/>
        <w:numPr>
          <w:ilvl w:val="0"/>
          <w:numId w:val="30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το I</w:t>
      </w:r>
    </w:p>
    <w:p w:rsidR="005F4759" w:rsidRPr="00B4640F" w:rsidRDefault="005F4759" w:rsidP="005F4759">
      <w:pPr>
        <w:pStyle w:val="a3"/>
        <w:numPr>
          <w:ilvl w:val="0"/>
          <w:numId w:val="30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το IIΙ</w:t>
      </w:r>
    </w:p>
    <w:p w:rsidR="005F4759" w:rsidRPr="00B4640F" w:rsidRDefault="005F4759" w:rsidP="005F4759">
      <w:pPr>
        <w:pStyle w:val="a3"/>
        <w:numPr>
          <w:ilvl w:val="0"/>
          <w:numId w:val="30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τα I και II</w:t>
      </w:r>
    </w:p>
    <w:p w:rsidR="005F4759" w:rsidRPr="00B4640F" w:rsidRDefault="005F4759" w:rsidP="005F4759">
      <w:pPr>
        <w:pStyle w:val="a3"/>
        <w:numPr>
          <w:ilvl w:val="0"/>
          <w:numId w:val="30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τα Ι και III</w:t>
      </w:r>
    </w:p>
    <w:p w:rsidR="005F4759" w:rsidRPr="00B4640F" w:rsidRDefault="005F4759" w:rsidP="005F4759">
      <w:pPr>
        <w:pStyle w:val="a3"/>
        <w:numPr>
          <w:ilvl w:val="0"/>
          <w:numId w:val="30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Όλα</w:t>
      </w:r>
    </w:p>
    <w:p w:rsidR="002A2521" w:rsidRPr="00B4640F" w:rsidRDefault="002A2521">
      <w:pPr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</w:rPr>
        <w:br w:type="page"/>
      </w:r>
    </w:p>
    <w:p w:rsidR="005F4759" w:rsidRPr="00B4640F" w:rsidRDefault="005F4759" w:rsidP="005F4759">
      <w:pPr>
        <w:pStyle w:val="a3"/>
        <w:ind w:left="72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Σε συνταξιοδοτικό σχήμα που εφαρμόζεται η </w:t>
      </w:r>
      <w:proofErr w:type="spellStart"/>
      <w:r w:rsidRPr="00B4640F">
        <w:rPr>
          <w:rFonts w:asciiTheme="minorHAnsi" w:hAnsiTheme="minorHAnsi" w:cstheme="minorHAnsi"/>
          <w:sz w:val="20"/>
          <w:szCs w:val="20"/>
          <w:lang w:val="el-GR"/>
        </w:rPr>
        <w:t>Unit</w:t>
      </w:r>
      <w:proofErr w:type="spellEnd"/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sz w:val="20"/>
          <w:szCs w:val="20"/>
          <w:lang w:val="el-GR"/>
        </w:rPr>
        <w:t>Credit</w:t>
      </w:r>
      <w:proofErr w:type="spellEnd"/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 την 1/1/2013 η αναλογιστική υποχρέωση ισούται προς €100.000 και η περιουσία €65.000 ενώ την 1/1/2014 είναι αντίστοιχα  €125.000 και €85.000. Στις 31/12/2013 το κανονικό κόστος (NC) είναι €9.000 και οι καταβαλλόμενες εισφορές €11.000, ενώ στις 31/12/2014 οι καταβαλλόμενες εισφορές είναι €10.000. Εάν το επιτόκιο προεξόφλησης είναι 3%, τότε στη χρήση 2013 διαπιστώνεται:</w:t>
      </w:r>
    </w:p>
    <w:p w:rsidR="009D47B0" w:rsidRPr="00B4640F" w:rsidRDefault="009D47B0" w:rsidP="009D47B0">
      <w:pPr>
        <w:spacing w:after="120"/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3"/>
        <w:numPr>
          <w:ilvl w:val="0"/>
          <w:numId w:val="31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Αναλογιστικό κέρδος € 6.010</w:t>
      </w:r>
    </w:p>
    <w:p w:rsidR="005F4759" w:rsidRPr="00B4640F" w:rsidRDefault="005F4759" w:rsidP="005F4759">
      <w:pPr>
        <w:pStyle w:val="a3"/>
        <w:numPr>
          <w:ilvl w:val="0"/>
          <w:numId w:val="31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Αναλογιστική ζημία € 5.950</w:t>
      </w:r>
      <w:bookmarkStart w:id="0" w:name="_GoBack"/>
      <w:bookmarkEnd w:id="0"/>
    </w:p>
    <w:p w:rsidR="005F4759" w:rsidRPr="00B4640F" w:rsidRDefault="005F4759" w:rsidP="005F4759">
      <w:pPr>
        <w:pStyle w:val="a3"/>
        <w:numPr>
          <w:ilvl w:val="0"/>
          <w:numId w:val="31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Αναλογιστικό κέρδος € 5.950</w:t>
      </w:r>
    </w:p>
    <w:p w:rsidR="005F4759" w:rsidRPr="00B4640F" w:rsidRDefault="005F4759" w:rsidP="005F4759">
      <w:pPr>
        <w:pStyle w:val="a3"/>
        <w:numPr>
          <w:ilvl w:val="0"/>
          <w:numId w:val="31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Αναλογιστική ζημία € 5.950</w:t>
      </w:r>
    </w:p>
    <w:p w:rsidR="005F4759" w:rsidRPr="00B4640F" w:rsidRDefault="005F4759" w:rsidP="005F4759">
      <w:pPr>
        <w:pStyle w:val="a3"/>
        <w:numPr>
          <w:ilvl w:val="0"/>
          <w:numId w:val="31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Αναλογιστικό κέρδος € 4.050</w:t>
      </w: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Συνταξιοδοτικό σχήμα όπου εφαρμόζεται η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Unit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Credit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με μοναδικό αίτιο εξόδου το θάνατο έχει 150 ασφαλισμένους ηλικίας 35 ετών κατά την αποτίμηση της 1/1/t. Γνωρίζοντας ότι η ηλικία εισόδου είναι τα 25 η παροχή κατά τη συνταξιοδότηση στα 65 είναι σταθερό ποσό, το επιτόκιο προεξόφλησης 5% και  q</w:t>
      </w:r>
      <w:r w:rsidRPr="00B4640F">
        <w:rPr>
          <w:rFonts w:asciiTheme="minorHAnsi" w:hAnsiTheme="minorHAnsi" w:cstheme="minorHAnsi"/>
          <w:b w:val="0"/>
          <w:szCs w:val="20"/>
          <w:vertAlign w:val="subscript"/>
        </w:rPr>
        <w:t>35</w:t>
      </w:r>
      <w:r w:rsidRPr="00B4640F">
        <w:rPr>
          <w:rFonts w:asciiTheme="minorHAnsi" w:hAnsiTheme="minorHAnsi" w:cstheme="minorHAnsi"/>
          <w:b w:val="0"/>
          <w:szCs w:val="20"/>
        </w:rPr>
        <w:t xml:space="preserve"> = 0,01, η αναλογιστική υποχρέωση AL την 1/1/t+1 ισούται προς:</w:t>
      </w:r>
    </w:p>
    <w:p w:rsidR="005F4759" w:rsidRPr="00B4640F" w:rsidRDefault="005F4759" w:rsidP="005F4759">
      <w:pPr>
        <w:pStyle w:val="a3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1750,00 *NC35 </w:t>
      </w:r>
    </w:p>
    <w:p w:rsidR="005F4759" w:rsidRPr="00B4640F" w:rsidRDefault="005F4759" w:rsidP="005F4759">
      <w:pPr>
        <w:pStyle w:val="a3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1732,50 *NC35</w:t>
      </w:r>
    </w:p>
    <w:p w:rsidR="005F4759" w:rsidRPr="00B4640F" w:rsidRDefault="005F4759" w:rsidP="005F4759">
      <w:pPr>
        <w:pStyle w:val="a3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1.166,67 *NC35</w:t>
      </w:r>
    </w:p>
    <w:p w:rsidR="005F4759" w:rsidRPr="00B4640F" w:rsidRDefault="005F4759" w:rsidP="005F4759">
      <w:pPr>
        <w:pStyle w:val="a3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1.575,00 *NC35</w:t>
      </w:r>
    </w:p>
    <w:p w:rsidR="005F4759" w:rsidRPr="00B4640F" w:rsidRDefault="005F4759" w:rsidP="005F4759">
      <w:pPr>
        <w:pStyle w:val="a3"/>
        <w:numPr>
          <w:ilvl w:val="0"/>
          <w:numId w:val="32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1.155,00 *NC35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5F4759" w:rsidRPr="00B4640F" w:rsidRDefault="005F4759" w:rsidP="005F4759">
      <w:pPr>
        <w:pStyle w:val="a3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Από συνταξιοδοτικό σχήμα όπου εφαρμόζεται η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Unit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Credit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με μοναδικό αίτιο εξόδου το θάνατο και ηλικία κανονικής συνταξιοδότησης τα 65 αποχωρεί ασφαλισμένος με μειωμένη σύνταξη στην ηλικία των 62 ετών με αποτέλεσμα η συσσωρευμένη μηνιαία σύνταξη των €500 που θα ελάμβανε στα 65 να μειωθεί κατά 0.5% για κάθε μήνα μέχρι την ηλικία των 65. Γνωρίζοντας ότι: Ν</w:t>
      </w:r>
      <w:r w:rsidRPr="00B4640F">
        <w:rPr>
          <w:rFonts w:asciiTheme="minorHAnsi" w:hAnsiTheme="minorHAnsi" w:cstheme="minorHAnsi"/>
          <w:b w:val="0"/>
          <w:szCs w:val="20"/>
          <w:vertAlign w:val="subscript"/>
        </w:rPr>
        <w:t>65</w:t>
      </w:r>
      <w:r w:rsidRPr="00B4640F">
        <w:rPr>
          <w:rFonts w:asciiTheme="minorHAnsi" w:hAnsiTheme="minorHAnsi" w:cstheme="minorHAnsi"/>
          <w:b w:val="0"/>
          <w:szCs w:val="20"/>
          <w:vertAlign w:val="superscript"/>
        </w:rPr>
        <w:t>(12)</w:t>
      </w:r>
      <w:r w:rsidRPr="00B4640F">
        <w:rPr>
          <w:rFonts w:asciiTheme="minorHAnsi" w:hAnsiTheme="minorHAnsi" w:cstheme="minorHAnsi"/>
          <w:b w:val="0"/>
          <w:szCs w:val="20"/>
        </w:rPr>
        <w:t xml:space="preserve"> = 300.000, Ν</w:t>
      </w:r>
      <w:r w:rsidRPr="00B4640F">
        <w:rPr>
          <w:rFonts w:asciiTheme="minorHAnsi" w:hAnsiTheme="minorHAnsi" w:cstheme="minorHAnsi"/>
          <w:b w:val="0"/>
          <w:szCs w:val="20"/>
          <w:vertAlign w:val="subscript"/>
        </w:rPr>
        <w:t>62</w:t>
      </w:r>
      <w:r w:rsidRPr="00B4640F">
        <w:rPr>
          <w:rFonts w:asciiTheme="minorHAnsi" w:hAnsiTheme="minorHAnsi" w:cstheme="minorHAnsi"/>
          <w:b w:val="0"/>
          <w:szCs w:val="20"/>
          <w:vertAlign w:val="superscript"/>
        </w:rPr>
        <w:t>(12)</w:t>
      </w:r>
      <w:r w:rsidRPr="00B4640F">
        <w:rPr>
          <w:rFonts w:asciiTheme="minorHAnsi" w:hAnsiTheme="minorHAnsi" w:cstheme="minorHAnsi"/>
          <w:b w:val="0"/>
          <w:szCs w:val="20"/>
        </w:rPr>
        <w:t xml:space="preserve"> = 400.000, D</w:t>
      </w:r>
      <w:r w:rsidRPr="00B4640F">
        <w:rPr>
          <w:rFonts w:asciiTheme="minorHAnsi" w:hAnsiTheme="minorHAnsi" w:cstheme="minorHAnsi"/>
          <w:b w:val="0"/>
          <w:szCs w:val="20"/>
          <w:vertAlign w:val="subscript"/>
        </w:rPr>
        <w:t>65</w:t>
      </w:r>
      <w:r w:rsidRPr="00B4640F">
        <w:rPr>
          <w:rFonts w:asciiTheme="minorHAnsi" w:hAnsiTheme="minorHAnsi" w:cstheme="minorHAnsi"/>
          <w:b w:val="0"/>
          <w:szCs w:val="20"/>
        </w:rPr>
        <w:t>=30.000 και D</w:t>
      </w:r>
      <w:r w:rsidRPr="00B4640F">
        <w:rPr>
          <w:rFonts w:asciiTheme="minorHAnsi" w:hAnsiTheme="minorHAnsi" w:cstheme="minorHAnsi"/>
          <w:b w:val="0"/>
          <w:szCs w:val="20"/>
          <w:vertAlign w:val="subscript"/>
        </w:rPr>
        <w:t>62</w:t>
      </w:r>
      <w:r w:rsidRPr="00B4640F">
        <w:rPr>
          <w:rFonts w:asciiTheme="minorHAnsi" w:hAnsiTheme="minorHAnsi" w:cstheme="minorHAnsi"/>
          <w:b w:val="0"/>
          <w:szCs w:val="20"/>
        </w:rPr>
        <w:t xml:space="preserve">=36.000, προκύπτει αναλογιστική ζημία ύψους:   </w:t>
      </w:r>
    </w:p>
    <w:p w:rsidR="005F4759" w:rsidRPr="00B4640F" w:rsidRDefault="005F4759" w:rsidP="005F4759">
      <w:pPr>
        <w:pStyle w:val="a3"/>
        <w:numPr>
          <w:ilvl w:val="0"/>
          <w:numId w:val="33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€ 8.667</w:t>
      </w:r>
    </w:p>
    <w:p w:rsidR="005F4759" w:rsidRPr="00B4640F" w:rsidRDefault="005F4759" w:rsidP="005F4759">
      <w:pPr>
        <w:pStyle w:val="a3"/>
        <w:numPr>
          <w:ilvl w:val="0"/>
          <w:numId w:val="33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€ 6.667</w:t>
      </w:r>
    </w:p>
    <w:p w:rsidR="005F4759" w:rsidRPr="00B4640F" w:rsidRDefault="005F4759" w:rsidP="005F4759">
      <w:pPr>
        <w:pStyle w:val="a3"/>
        <w:numPr>
          <w:ilvl w:val="0"/>
          <w:numId w:val="33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€ 6.400</w:t>
      </w:r>
    </w:p>
    <w:p w:rsidR="005F4759" w:rsidRPr="00B4640F" w:rsidRDefault="005F4759" w:rsidP="005F4759">
      <w:pPr>
        <w:pStyle w:val="a3"/>
        <w:numPr>
          <w:ilvl w:val="0"/>
          <w:numId w:val="33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€ 4.667</w:t>
      </w:r>
    </w:p>
    <w:p w:rsidR="005F4759" w:rsidRPr="00B4640F" w:rsidRDefault="005F4759" w:rsidP="005F4759">
      <w:pPr>
        <w:pStyle w:val="a3"/>
        <w:numPr>
          <w:ilvl w:val="0"/>
          <w:numId w:val="33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€ 4.000</w:t>
      </w:r>
    </w:p>
    <w:p w:rsidR="002A2521" w:rsidRPr="00B4640F" w:rsidRDefault="002A2521">
      <w:pPr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</w:rPr>
        <w:br w:type="page"/>
      </w:r>
    </w:p>
    <w:p w:rsidR="005F4759" w:rsidRPr="00B4640F" w:rsidRDefault="005F4759" w:rsidP="005F4759">
      <w:pPr>
        <w:pStyle w:val="a3"/>
        <w:spacing w:line="276" w:lineRule="auto"/>
        <w:ind w:left="72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Σε συνταξιοδοτικό σχήμα όπου εφαρμόζεται η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Entry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Age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Normal</w:t>
      </w:r>
      <w:proofErr w:type="spellEnd"/>
      <w:r w:rsidRPr="00B4640F">
        <w:rPr>
          <w:rFonts w:asciiTheme="minorHAnsi" w:hAnsiTheme="minorHAnsi" w:cstheme="minorHAnsi"/>
          <w:b w:val="0"/>
          <w:szCs w:val="20"/>
        </w:rPr>
        <w:t xml:space="preserve"> το επιτόκιο είναι 5% ενώ τα αποτελέσματα της αναλογιστικής αποτίμησης σε δύο διαδοχικά έτη είναι όπως παρακάτω: </w:t>
      </w:r>
    </w:p>
    <w:tbl>
      <w:tblPr>
        <w:tblStyle w:val="a7"/>
        <w:tblW w:w="0" w:type="auto"/>
        <w:tblInd w:w="720" w:type="dxa"/>
        <w:tblLayout w:type="fixed"/>
        <w:tblLook w:val="04A0"/>
      </w:tblPr>
      <w:tblGrid>
        <w:gridCol w:w="2790"/>
        <w:gridCol w:w="1701"/>
        <w:gridCol w:w="2268"/>
      </w:tblGrid>
      <w:tr w:rsidR="005F4759" w:rsidRPr="00B4640F" w:rsidTr="00D2658C">
        <w:tc>
          <w:tcPr>
            <w:tcW w:w="2790" w:type="dxa"/>
          </w:tcPr>
          <w:p w:rsidR="005F4759" w:rsidRPr="00B4640F" w:rsidRDefault="005F4759" w:rsidP="00D2658C">
            <w:pPr>
              <w:pStyle w:val="a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01" w:type="dxa"/>
          </w:tcPr>
          <w:p w:rsidR="005F4759" w:rsidRPr="00B4640F" w:rsidRDefault="005F4759" w:rsidP="00D2658C">
            <w:pPr>
              <w:pStyle w:val="a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1/1/2013</w:t>
            </w:r>
          </w:p>
        </w:tc>
        <w:tc>
          <w:tcPr>
            <w:tcW w:w="2268" w:type="dxa"/>
          </w:tcPr>
          <w:p w:rsidR="005F4759" w:rsidRPr="00B4640F" w:rsidRDefault="005F4759" w:rsidP="00D2658C">
            <w:pPr>
              <w:pStyle w:val="a3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1/1/2014</w:t>
            </w:r>
          </w:p>
        </w:tc>
      </w:tr>
      <w:tr w:rsidR="005F4759" w:rsidRPr="00B4640F" w:rsidTr="00D2658C">
        <w:tc>
          <w:tcPr>
            <w:tcW w:w="2790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Αναλογιστική Υποχρέωση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€ 620.000</w:t>
            </w:r>
          </w:p>
        </w:tc>
        <w:tc>
          <w:tcPr>
            <w:tcW w:w="2268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€ 670.000</w:t>
            </w:r>
          </w:p>
        </w:tc>
      </w:tr>
      <w:tr w:rsidR="005F4759" w:rsidRPr="00B4640F" w:rsidTr="00D2658C">
        <w:tc>
          <w:tcPr>
            <w:tcW w:w="2790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 xml:space="preserve">Περιουσία 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€ 510.000</w:t>
            </w:r>
          </w:p>
        </w:tc>
        <w:tc>
          <w:tcPr>
            <w:tcW w:w="2268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€ 560.000</w:t>
            </w:r>
          </w:p>
        </w:tc>
      </w:tr>
      <w:tr w:rsidR="005F4759" w:rsidRPr="00B4640F" w:rsidTr="00D2658C">
        <w:tc>
          <w:tcPr>
            <w:tcW w:w="2790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Κανονικό κόστος</w:t>
            </w:r>
          </w:p>
        </w:tc>
        <w:tc>
          <w:tcPr>
            <w:tcW w:w="1701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  <w:r w:rsidRPr="00B4640F">
              <w:rPr>
                <w:rFonts w:asciiTheme="minorHAnsi" w:hAnsiTheme="minorHAnsi" w:cstheme="minorHAnsi"/>
                <w:b w:val="0"/>
                <w:szCs w:val="20"/>
              </w:rPr>
              <w:t>€ 30.000</w:t>
            </w:r>
          </w:p>
        </w:tc>
        <w:tc>
          <w:tcPr>
            <w:tcW w:w="2268" w:type="dxa"/>
          </w:tcPr>
          <w:p w:rsidR="005F4759" w:rsidRPr="00B4640F" w:rsidRDefault="005F4759" w:rsidP="00D2658C">
            <w:pPr>
              <w:pStyle w:val="a3"/>
              <w:spacing w:before="20" w:after="20"/>
              <w:jc w:val="both"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</w:tr>
    </w:tbl>
    <w:p w:rsidR="005F4759" w:rsidRPr="00B4640F" w:rsidRDefault="005F4759" w:rsidP="005F4759">
      <w:pPr>
        <w:pStyle w:val="a3"/>
        <w:ind w:left="72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Γνωρίζοντας ότι στις 30/6/2013 καταβάλλεται εισφορά €50.000 και αποδίδεται παροχή €12.000, το αναμενόμενο αναλογιστικό κέρδος από την απόδοση των επενδύσεων </w:t>
      </w:r>
      <w:r w:rsidRPr="00B4640F">
        <w:rPr>
          <w:rFonts w:asciiTheme="minorHAnsi" w:hAnsiTheme="minorHAnsi" w:cstheme="minorHAnsi"/>
          <w:b w:val="0"/>
          <w:i/>
          <w:szCs w:val="20"/>
          <w:u w:val="single"/>
        </w:rPr>
        <w:t>με τη χρήση απλού τόκου</w:t>
      </w:r>
      <w:r w:rsidRPr="00B4640F">
        <w:rPr>
          <w:rFonts w:asciiTheme="minorHAnsi" w:hAnsiTheme="minorHAnsi" w:cstheme="minorHAnsi"/>
          <w:b w:val="0"/>
          <w:szCs w:val="20"/>
        </w:rPr>
        <w:t xml:space="preserve">  ισούται προς: </w:t>
      </w:r>
    </w:p>
    <w:p w:rsidR="005F4759" w:rsidRPr="00B4640F" w:rsidRDefault="005F4759" w:rsidP="005F4759">
      <w:pPr>
        <w:pStyle w:val="a3"/>
        <w:numPr>
          <w:ilvl w:val="0"/>
          <w:numId w:val="34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€ 26.450</w:t>
      </w:r>
    </w:p>
    <w:p w:rsidR="005F4759" w:rsidRPr="00B4640F" w:rsidRDefault="005F4759" w:rsidP="005F4759">
      <w:pPr>
        <w:pStyle w:val="a3"/>
        <w:numPr>
          <w:ilvl w:val="0"/>
          <w:numId w:val="34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€ 25.950</w:t>
      </w:r>
    </w:p>
    <w:p w:rsidR="005F4759" w:rsidRPr="00B4640F" w:rsidRDefault="005F4759" w:rsidP="005F4759">
      <w:pPr>
        <w:pStyle w:val="a3"/>
        <w:numPr>
          <w:ilvl w:val="0"/>
          <w:numId w:val="34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€ 24.500</w:t>
      </w:r>
    </w:p>
    <w:p w:rsidR="005F4759" w:rsidRPr="00B4640F" w:rsidRDefault="005F4759" w:rsidP="005F4759">
      <w:pPr>
        <w:pStyle w:val="a3"/>
        <w:numPr>
          <w:ilvl w:val="0"/>
          <w:numId w:val="34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€ 15.250</w:t>
      </w:r>
    </w:p>
    <w:p w:rsidR="005F4759" w:rsidRPr="00B4640F" w:rsidRDefault="005F4759" w:rsidP="005F4759">
      <w:pPr>
        <w:pStyle w:val="a3"/>
        <w:numPr>
          <w:ilvl w:val="0"/>
          <w:numId w:val="34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€ 14.450</w:t>
      </w:r>
    </w:p>
    <w:p w:rsidR="005F4759" w:rsidRPr="00B4640F" w:rsidRDefault="005F4759" w:rsidP="005F4759">
      <w:pPr>
        <w:pStyle w:val="a3"/>
        <w:ind w:left="36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numPr>
          <w:ilvl w:val="0"/>
          <w:numId w:val="26"/>
        </w:numPr>
        <w:spacing w:before="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Σε συνταξιοδοτικό σχήμα όπου εφαρμόζεται η Aggregate μέθοδος την 1/1/2014 το κανονικό κόστος (NC) για το μοναδικό ασφαλισμένο ηλικίας  45 ετών με ετήσιες αποδοχές €20.000 είναι 10% του μισθού του. Εάν γνωρίζουμε ότι το ποσοστό αύξησης αποδοχών είναι 0%, το επιτόκιο 5%, αίτιο εξόδου μέχρι την συνταξιοδότηση δεν υπάρχει και η αναμενόμενη μηνιαία παροχή στα  65 είναι €1000, </w:t>
      </w:r>
      <m:oMath>
        <m:sSub>
          <m:sSubPr>
            <m:ctrlPr>
              <w:rPr>
                <w:rFonts w:ascii="Cambria Math" w:hAnsiTheme="minorHAnsi" w:cstheme="minorHAnsi"/>
                <w:b w:val="0"/>
                <w:szCs w:val="20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α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65</m:t>
            </m:r>
          </m:sub>
        </m:sSub>
      </m:oMath>
      <w:r w:rsidRPr="00B4640F">
        <w:rPr>
          <w:rFonts w:asciiTheme="minorHAnsi" w:hAnsiTheme="minorHAnsi" w:cstheme="minorHAnsi"/>
          <w:b w:val="0"/>
          <w:szCs w:val="20"/>
        </w:rPr>
        <w:t xml:space="preserve"> = 10, το ύψος της περιουσίας την 1/1/2014 είναι:       </w:t>
      </w:r>
    </w:p>
    <w:p w:rsidR="005F4759" w:rsidRPr="00B4640F" w:rsidRDefault="005F4759" w:rsidP="005F4759">
      <w:pPr>
        <w:pStyle w:val="a3"/>
        <w:numPr>
          <w:ilvl w:val="0"/>
          <w:numId w:val="35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€ 45.227</w:t>
      </w:r>
    </w:p>
    <w:p w:rsidR="005F4759" w:rsidRPr="00B4640F" w:rsidRDefault="005F4759" w:rsidP="005F4759">
      <w:pPr>
        <w:pStyle w:val="a3"/>
        <w:numPr>
          <w:ilvl w:val="0"/>
          <w:numId w:val="35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€ 26.171</w:t>
      </w:r>
    </w:p>
    <w:p w:rsidR="005F4759" w:rsidRPr="00B4640F" w:rsidRDefault="005F4759" w:rsidP="005F4759">
      <w:pPr>
        <w:pStyle w:val="a3"/>
        <w:numPr>
          <w:ilvl w:val="0"/>
          <w:numId w:val="35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€ 26.594</w:t>
      </w:r>
    </w:p>
    <w:p w:rsidR="005F4759" w:rsidRPr="00B4640F" w:rsidRDefault="005F4759" w:rsidP="005F4759">
      <w:pPr>
        <w:pStyle w:val="a3"/>
        <w:numPr>
          <w:ilvl w:val="0"/>
          <w:numId w:val="35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€ 22.109</w:t>
      </w:r>
    </w:p>
    <w:p w:rsidR="005F4759" w:rsidRPr="00B4640F" w:rsidRDefault="005F4759" w:rsidP="005F4759">
      <w:pPr>
        <w:pStyle w:val="a3"/>
        <w:numPr>
          <w:ilvl w:val="0"/>
          <w:numId w:val="35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€ 19.056</w:t>
      </w:r>
    </w:p>
    <w:p w:rsidR="005F4759" w:rsidRPr="00B4640F" w:rsidRDefault="005F4759" w:rsidP="005F4759">
      <w:pPr>
        <w:pStyle w:val="a3"/>
        <w:ind w:left="720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        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br w:type="page"/>
      </w:r>
    </w:p>
    <w:p w:rsidR="005F4759" w:rsidRPr="00B4640F" w:rsidRDefault="005F4759" w:rsidP="005F4759">
      <w:pPr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lastRenderedPageBreak/>
        <w:t xml:space="preserve">Ποιο από τα παρακάτω αληθεύει για τα συνταξιοδοτικά σχήματα "νοητής" Κεφαλαιοποίησης </w:t>
      </w:r>
    </w:p>
    <w:p w:rsidR="005F4759" w:rsidRPr="00B4640F" w:rsidRDefault="005F4759" w:rsidP="005F4759">
      <w:pPr>
        <w:pStyle w:val="ac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Είναι Κεφαλαιοποιητικά σχήματα καθορισμένης εισφοράς.</w:t>
      </w:r>
    </w:p>
    <w:p w:rsidR="005F4759" w:rsidRPr="00B4640F" w:rsidRDefault="005F4759" w:rsidP="005F4759">
      <w:pPr>
        <w:pStyle w:val="ac"/>
        <w:numPr>
          <w:ilvl w:val="0"/>
          <w:numId w:val="22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Είναι Κεφαλαιοποιητικά σχήματα καθορισμένης παροχής.</w:t>
      </w:r>
    </w:p>
    <w:p w:rsidR="005F4759" w:rsidRPr="00B4640F" w:rsidRDefault="005F4759" w:rsidP="005F4759">
      <w:pPr>
        <w:pStyle w:val="ac"/>
        <w:numPr>
          <w:ilvl w:val="0"/>
          <w:numId w:val="22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Οι συνταξιοδοτικές παροχές πληρώνονται από τις τρέχουσες εισφορές των εργαζομένων.</w:t>
      </w:r>
    </w:p>
    <w:p w:rsidR="005F4759" w:rsidRPr="00B4640F" w:rsidRDefault="005F4759" w:rsidP="005F4759">
      <w:pPr>
        <w:pStyle w:val="a3"/>
        <w:numPr>
          <w:ilvl w:val="0"/>
          <w:numId w:val="36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το I</w:t>
      </w:r>
    </w:p>
    <w:p w:rsidR="005F4759" w:rsidRPr="00B4640F" w:rsidRDefault="005F4759" w:rsidP="005F4759">
      <w:pPr>
        <w:pStyle w:val="a3"/>
        <w:numPr>
          <w:ilvl w:val="0"/>
          <w:numId w:val="36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το IIΙ</w:t>
      </w:r>
    </w:p>
    <w:p w:rsidR="005F4759" w:rsidRPr="00B4640F" w:rsidRDefault="005F4759" w:rsidP="005F4759">
      <w:pPr>
        <w:pStyle w:val="a3"/>
        <w:numPr>
          <w:ilvl w:val="0"/>
          <w:numId w:val="36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τα IΙ και IIΙ</w:t>
      </w:r>
    </w:p>
    <w:p w:rsidR="005F4759" w:rsidRPr="00B4640F" w:rsidRDefault="005F4759" w:rsidP="005F4759">
      <w:pPr>
        <w:pStyle w:val="a3"/>
        <w:numPr>
          <w:ilvl w:val="0"/>
          <w:numId w:val="36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τα Ι και III</w:t>
      </w:r>
    </w:p>
    <w:p w:rsidR="005F4759" w:rsidRPr="00B4640F" w:rsidRDefault="005F4759" w:rsidP="005F4759">
      <w:pPr>
        <w:pStyle w:val="a3"/>
        <w:numPr>
          <w:ilvl w:val="0"/>
          <w:numId w:val="36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Κανένα</w:t>
      </w:r>
    </w:p>
    <w:p w:rsidR="005F4759" w:rsidRPr="00B4640F" w:rsidRDefault="005F4759" w:rsidP="005F4759">
      <w:pPr>
        <w:pStyle w:val="a3"/>
        <w:ind w:left="72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t xml:space="preserve">Ποιο από τα παρακάτω αληθεύει:  </w:t>
      </w:r>
    </w:p>
    <w:p w:rsidR="005F4759" w:rsidRPr="00B4640F" w:rsidRDefault="005F4759" w:rsidP="005F4759">
      <w:pPr>
        <w:pStyle w:val="ac"/>
        <w:numPr>
          <w:ilvl w:val="0"/>
          <w:numId w:val="23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Το σύστημα ασφάλισης της Ελλάδας βασίζεται σε τρείς πυλώνες.</w:t>
      </w:r>
    </w:p>
    <w:p w:rsidR="005F4759" w:rsidRPr="00B4640F" w:rsidRDefault="005F4759" w:rsidP="005F4759">
      <w:pPr>
        <w:pStyle w:val="ac"/>
        <w:numPr>
          <w:ilvl w:val="0"/>
          <w:numId w:val="23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Όλα τα ταμεία της επικουρικής ασφάλισης υπάγονται πλέον στο ΕΤΕΑ.</w:t>
      </w:r>
    </w:p>
    <w:p w:rsidR="005F4759" w:rsidRPr="00B4640F" w:rsidRDefault="005F4759" w:rsidP="005F4759">
      <w:pPr>
        <w:pStyle w:val="ac"/>
        <w:numPr>
          <w:ilvl w:val="0"/>
          <w:numId w:val="23"/>
        </w:numPr>
        <w:spacing w:after="120"/>
        <w:ind w:left="107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>Οι καλύψεις Υγείας είναι υποχρεωτικές όσον αφορά στην εισφορά αλλά όχι όσον αφορά στην παροχή.</w:t>
      </w:r>
    </w:p>
    <w:p w:rsidR="005F4759" w:rsidRPr="00B4640F" w:rsidRDefault="005F4759" w:rsidP="005F4759">
      <w:pPr>
        <w:pStyle w:val="a3"/>
        <w:numPr>
          <w:ilvl w:val="0"/>
          <w:numId w:val="37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το I</w:t>
      </w:r>
    </w:p>
    <w:p w:rsidR="005F4759" w:rsidRPr="00B4640F" w:rsidRDefault="005F4759" w:rsidP="005F4759">
      <w:pPr>
        <w:pStyle w:val="a3"/>
        <w:numPr>
          <w:ilvl w:val="0"/>
          <w:numId w:val="37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το IIΙ</w:t>
      </w:r>
    </w:p>
    <w:p w:rsidR="005F4759" w:rsidRPr="00B4640F" w:rsidRDefault="005F4759" w:rsidP="005F4759">
      <w:pPr>
        <w:pStyle w:val="a3"/>
        <w:numPr>
          <w:ilvl w:val="0"/>
          <w:numId w:val="37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τα IΙ και IIΙ</w:t>
      </w:r>
    </w:p>
    <w:p w:rsidR="005F4759" w:rsidRPr="00B4640F" w:rsidRDefault="005F4759" w:rsidP="005F4759">
      <w:pPr>
        <w:pStyle w:val="a3"/>
        <w:numPr>
          <w:ilvl w:val="0"/>
          <w:numId w:val="37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Μόνο τα Ι και III</w:t>
      </w:r>
    </w:p>
    <w:p w:rsidR="005F4759" w:rsidRPr="00B4640F" w:rsidRDefault="005F4759" w:rsidP="005F4759">
      <w:pPr>
        <w:pStyle w:val="a3"/>
        <w:numPr>
          <w:ilvl w:val="0"/>
          <w:numId w:val="37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Κανένα</w:t>
      </w:r>
    </w:p>
    <w:p w:rsidR="005F4759" w:rsidRPr="00B4640F" w:rsidRDefault="005F4759" w:rsidP="005F4759">
      <w:pPr>
        <w:pStyle w:val="a3"/>
        <w:spacing w:line="276" w:lineRule="auto"/>
        <w:ind w:left="720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c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Συνταξιοδοτικό σχήμα την 1/1/t έχει περιουσία 10.000 μετοχές αξίας €120.000 και  την 1/7/t καταβάλλονται εισφορές για την αγορά 3.000 επιπλέον μετοχών αξίας €30.000. Εάν την 31/12/t η συνολική αξία της περιουσίας συνίσταται από 13.000 αξίας €169.000, το επιτόκιο βάσει της </w:t>
      </w:r>
      <w:proofErr w:type="spellStart"/>
      <w:r w:rsidRPr="00B4640F">
        <w:rPr>
          <w:rFonts w:asciiTheme="minorHAnsi" w:hAnsiTheme="minorHAnsi" w:cstheme="minorHAnsi"/>
          <w:lang w:val="el-GR"/>
        </w:rPr>
        <w:t>χρονοσταθμισμένης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μεθόδου  (</w:t>
      </w:r>
      <w:proofErr w:type="spellStart"/>
      <w:r w:rsidRPr="00B4640F">
        <w:rPr>
          <w:rFonts w:asciiTheme="minorHAnsi" w:hAnsiTheme="minorHAnsi" w:cstheme="minorHAnsi"/>
          <w:lang w:val="el-GR"/>
        </w:rPr>
        <w:t>time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weighted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rate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of </w:t>
      </w:r>
      <w:proofErr w:type="spellStart"/>
      <w:r w:rsidRPr="00B4640F">
        <w:rPr>
          <w:rFonts w:asciiTheme="minorHAnsi" w:hAnsiTheme="minorHAnsi" w:cstheme="minorHAnsi"/>
          <w:lang w:val="el-GR"/>
        </w:rPr>
        <w:t>return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)  ισούται προς: </w:t>
      </w:r>
    </w:p>
    <w:p w:rsidR="005F4759" w:rsidRPr="00B4640F" w:rsidRDefault="005F4759" w:rsidP="005F4759">
      <w:pPr>
        <w:pStyle w:val="a3"/>
        <w:numPr>
          <w:ilvl w:val="0"/>
          <w:numId w:val="38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8,30%</w:t>
      </w:r>
    </w:p>
    <w:p w:rsidR="005F4759" w:rsidRPr="00B4640F" w:rsidRDefault="005F4759" w:rsidP="005F4759">
      <w:pPr>
        <w:pStyle w:val="a3"/>
        <w:numPr>
          <w:ilvl w:val="0"/>
          <w:numId w:val="38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12,67%</w:t>
      </w:r>
    </w:p>
    <w:p w:rsidR="005F4759" w:rsidRPr="00B4640F" w:rsidRDefault="005F4759" w:rsidP="005F4759">
      <w:pPr>
        <w:pStyle w:val="a3"/>
        <w:numPr>
          <w:ilvl w:val="0"/>
          <w:numId w:val="38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18,20%</w:t>
      </w:r>
    </w:p>
    <w:p w:rsidR="005F4759" w:rsidRPr="00B4640F" w:rsidRDefault="005F4759" w:rsidP="005F4759">
      <w:pPr>
        <w:pStyle w:val="a3"/>
        <w:numPr>
          <w:ilvl w:val="0"/>
          <w:numId w:val="38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20,40%</w:t>
      </w:r>
    </w:p>
    <w:p w:rsidR="005F4759" w:rsidRPr="00B4640F" w:rsidRDefault="005F4759" w:rsidP="005F4759">
      <w:pPr>
        <w:pStyle w:val="a3"/>
        <w:numPr>
          <w:ilvl w:val="0"/>
          <w:numId w:val="38"/>
        </w:numPr>
        <w:spacing w:before="0" w:line="276" w:lineRule="auto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>30,00%</w:t>
      </w:r>
    </w:p>
    <w:p w:rsidR="005F4759" w:rsidRPr="00B4640F" w:rsidRDefault="005F4759" w:rsidP="005F475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B4640F">
        <w:rPr>
          <w:rFonts w:asciiTheme="minorHAnsi" w:hAnsiTheme="minorHAnsi" w:cstheme="minorHAnsi"/>
          <w:sz w:val="20"/>
          <w:szCs w:val="20"/>
          <w:lang w:val="el-GR"/>
        </w:rPr>
        <w:br w:type="page"/>
      </w:r>
    </w:p>
    <w:p w:rsidR="005F4759" w:rsidRPr="00B4640F" w:rsidRDefault="005F4759" w:rsidP="005F4759">
      <w:pPr>
        <w:pStyle w:val="ac"/>
        <w:numPr>
          <w:ilvl w:val="0"/>
          <w:numId w:val="28"/>
        </w:numPr>
        <w:spacing w:after="120"/>
        <w:ind w:left="35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lastRenderedPageBreak/>
        <w:t>Σε μία χρονιά που δεν έγιναν εισφορές η πραγματική μη χρηματοδοτημένη αναλογιστική υποχρέωση, UAL</w:t>
      </w:r>
      <w:r w:rsidRPr="00B4640F">
        <w:rPr>
          <w:rFonts w:asciiTheme="minorHAnsi" w:hAnsiTheme="minorHAnsi" w:cstheme="minorHAnsi"/>
          <w:vertAlign w:val="subscript"/>
          <w:lang w:val="el-GR"/>
        </w:rPr>
        <w:t>t+1</w:t>
      </w:r>
      <w:r w:rsidRPr="00B4640F">
        <w:rPr>
          <w:rFonts w:asciiTheme="minorHAnsi" w:hAnsiTheme="minorHAnsi" w:cstheme="minorHAnsi"/>
          <w:lang w:val="el-GR"/>
        </w:rPr>
        <w:t xml:space="preserve"> είναι κατά 50% μεγαλύτερη εκείνης (της πραγματικής) της προηγούμενης χρήσης </w:t>
      </w:r>
      <w:proofErr w:type="spellStart"/>
      <w:r w:rsidRPr="00B4640F">
        <w:rPr>
          <w:rFonts w:asciiTheme="minorHAnsi" w:hAnsiTheme="minorHAnsi" w:cstheme="minorHAnsi"/>
          <w:lang w:val="el-GR"/>
        </w:rPr>
        <w:t>UAL</w:t>
      </w:r>
      <w:r w:rsidRPr="00B4640F">
        <w:rPr>
          <w:rFonts w:asciiTheme="minorHAnsi" w:hAnsiTheme="minorHAnsi" w:cstheme="minorHAnsi"/>
          <w:vertAlign w:val="subscript"/>
          <w:lang w:val="el-GR"/>
        </w:rPr>
        <w:t>t</w:t>
      </w:r>
      <w:proofErr w:type="spellEnd"/>
      <w:r w:rsidRPr="00B4640F">
        <w:rPr>
          <w:rFonts w:asciiTheme="minorHAnsi" w:hAnsiTheme="minorHAnsi" w:cstheme="minorHAnsi"/>
          <w:lang w:val="el-GR"/>
        </w:rPr>
        <w:t>. Εάν γνωρίζουμε ότι η αναλογιστική ζημία που προέκυψε στη χρήση t+1 λόγω απόκλισης των αναλογιστικών υποθέσεων ισούται προς 1%*NC</w:t>
      </w:r>
      <w:r w:rsidRPr="00B4640F">
        <w:rPr>
          <w:rFonts w:asciiTheme="minorHAnsi" w:hAnsiTheme="minorHAnsi" w:cstheme="minorHAnsi"/>
          <w:vertAlign w:val="subscript"/>
          <w:lang w:val="el-GR"/>
        </w:rPr>
        <w:t>t</w:t>
      </w:r>
      <w:r w:rsidRPr="00B4640F">
        <w:rPr>
          <w:rFonts w:asciiTheme="minorHAnsi" w:hAnsiTheme="minorHAnsi" w:cstheme="minorHAnsi"/>
          <w:lang w:val="el-GR"/>
        </w:rPr>
        <w:t xml:space="preserve"> , τότε ο λόγος </w:t>
      </w:r>
      <m:oMath>
        <m:f>
          <m:fPr>
            <m:ctrlPr>
              <w:rPr>
                <w:rFonts w:ascii="Cambria Math" w:hAnsiTheme="minorHAnsi" w:cstheme="minorHAnsi"/>
                <w:lang w:val="el-GR"/>
              </w:rPr>
            </m:ctrlPr>
          </m:fPr>
          <m:num>
            <m:sPre>
              <m:sPrePr>
                <m:ctrlPr>
                  <w:rPr>
                    <w:rFonts w:ascii="Cambria Math" w:hAnsiTheme="minorHAnsi" w:cstheme="minorHAnsi"/>
                    <w:lang w:val="el-GR"/>
                  </w:rPr>
                </m:ctrlPr>
              </m:sPrePr>
              <m:sub/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lang w:val="el-GR"/>
                  </w:rPr>
                  <m:t>act</m:t>
                </m:r>
              </m:sup>
              <m:e>
                <m:sSubSup>
                  <m:sSubSupPr>
                    <m:ctrlPr>
                      <w:rPr>
                        <w:rFonts w:ascii="Cambria Math" w:hAnsiTheme="minorHAnsi" w:cstheme="minorHAnsi"/>
                        <w:lang w:val="el-GR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lang w:val="el-GR"/>
                      </w:rPr>
                      <m:t>UAL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lang w:val="el-GR"/>
                      </w:rPr>
                      <m:t>t</m:t>
                    </m:r>
                  </m:sub>
                  <m:sup/>
                </m:sSubSup>
              </m:e>
            </m:sPre>
          </m:num>
          <m:den>
            <m:sSub>
              <m:sSubPr>
                <m:ctrlPr>
                  <w:rPr>
                    <w:rFonts w:ascii="Cambria Math" w:hAnsiTheme="minorHAnsi" w:cstheme="minorHAnsi"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lang w:val="el-GR"/>
                  </w:rPr>
                  <m:t>NC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lang w:val="el-GR"/>
                  </w:rPr>
                  <m:t>t</m:t>
                </m:r>
              </m:sub>
            </m:sSub>
          </m:den>
        </m:f>
      </m:oMath>
      <w:r w:rsidRPr="00B4640F">
        <w:rPr>
          <w:rFonts w:asciiTheme="minorHAnsi" w:hAnsiTheme="minorHAnsi" w:cstheme="minorHAnsi"/>
          <w:lang w:val="el-GR"/>
        </w:rPr>
        <w:t xml:space="preserve">  ως συνάρτηση του επιτοκίου αποτίμησης i  ισούται προς:</w:t>
      </w:r>
    </w:p>
    <w:p w:rsidR="005F4759" w:rsidRPr="00B4640F" w:rsidRDefault="005F4759" w:rsidP="005F4759">
      <w:pPr>
        <w:pStyle w:val="a3"/>
        <w:numPr>
          <w:ilvl w:val="0"/>
          <w:numId w:val="2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</w:t>
      </w:r>
      <m:oMath>
        <m:f>
          <m:fPr>
            <m:ctrlPr>
              <w:rPr>
                <w:rFonts w:ascii="Cambria Math" w:hAnsiTheme="minorHAnsi" w:cstheme="minorHAnsi"/>
                <w:b w:val="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1+i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</m:t>
            </m:r>
          </m:den>
        </m:f>
      </m:oMath>
    </w:p>
    <w:p w:rsidR="005F4759" w:rsidRPr="00B4640F" w:rsidRDefault="005F4759" w:rsidP="005F4759">
      <w:pPr>
        <w:pStyle w:val="a3"/>
        <w:numPr>
          <w:ilvl w:val="0"/>
          <w:numId w:val="2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2*( </w:t>
      </w:r>
      <m:oMath>
        <m:f>
          <m:fPr>
            <m:ctrlPr>
              <w:rPr>
                <w:rFonts w:ascii="Cambria Math" w:hAnsiTheme="minorHAnsi" w:cstheme="minorHAnsi"/>
                <w:b w:val="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1+i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 xml:space="preserve">i </m:t>
            </m:r>
          </m:den>
        </m:f>
      </m:oMath>
      <w:r w:rsidRPr="00B4640F">
        <w:rPr>
          <w:rFonts w:asciiTheme="minorHAnsi" w:hAnsiTheme="minorHAnsi" w:cstheme="minorHAnsi"/>
          <w:b w:val="0"/>
          <w:szCs w:val="20"/>
        </w:rPr>
        <w:t>)</w:t>
      </w:r>
    </w:p>
    <w:p w:rsidR="005F4759" w:rsidRPr="00B4640F" w:rsidRDefault="005F4759" w:rsidP="005F4759">
      <w:pPr>
        <w:pStyle w:val="a3"/>
        <w:numPr>
          <w:ilvl w:val="0"/>
          <w:numId w:val="2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2*( </w:t>
      </w:r>
      <m:oMath>
        <m:f>
          <m:fPr>
            <m:ctrlPr>
              <w:rPr>
                <w:rFonts w:ascii="Cambria Math" w:hAnsiTheme="minorHAnsi" w:cstheme="minorHAnsi"/>
                <w:b w:val="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1+i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2</m:t>
            </m:r>
            <m:r>
              <m:rPr>
                <m:sty m:val="b"/>
              </m:rPr>
              <w:rPr>
                <w:rFonts w:ascii="Cambria Math" w:hAnsi="Cambria Math" w:cstheme="minorHAnsi"/>
                <w:szCs w:val="20"/>
              </w:rPr>
              <m:t>*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 xml:space="preserve">i </m:t>
            </m:r>
          </m:den>
        </m:f>
      </m:oMath>
      <w:r w:rsidRPr="00B4640F">
        <w:rPr>
          <w:rFonts w:asciiTheme="minorHAnsi" w:hAnsiTheme="minorHAnsi" w:cstheme="minorHAnsi"/>
          <w:b w:val="0"/>
          <w:szCs w:val="20"/>
        </w:rPr>
        <w:t>)</w:t>
      </w:r>
    </w:p>
    <w:p w:rsidR="005F4759" w:rsidRPr="00B4640F" w:rsidRDefault="00924C98" w:rsidP="005F4759">
      <w:pPr>
        <w:pStyle w:val="a3"/>
        <w:numPr>
          <w:ilvl w:val="0"/>
          <w:numId w:val="2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m:oMath>
        <m:f>
          <m:fPr>
            <m:ctrlPr>
              <w:rPr>
                <w:rFonts w:ascii="Cambria Math" w:hAnsiTheme="minorHAnsi" w:cstheme="minorHAnsi"/>
                <w:b w:val="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100+101</m:t>
            </m:r>
            <m:r>
              <m:rPr>
                <m:sty m:val="b"/>
              </m:rPr>
              <w:rPr>
                <w:rFonts w:ascii="Cambria Math" w:hAnsi="Cambria Math" w:cstheme="minorHAnsi"/>
                <w:szCs w:val="20"/>
              </w:rPr>
              <m:t>*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50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100</m:t>
            </m:r>
            <m:r>
              <m:rPr>
                <m:sty m:val="b"/>
              </m:rPr>
              <w:rPr>
                <w:rFonts w:ascii="Cambria Math" w:hAnsi="Cambria Math" w:cstheme="minorHAnsi"/>
                <w:szCs w:val="20"/>
              </w:rPr>
              <m:t>*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</m:t>
            </m:r>
          </m:den>
        </m:f>
      </m:oMath>
    </w:p>
    <w:p w:rsidR="005F4759" w:rsidRPr="00B4640F" w:rsidRDefault="00924C98" w:rsidP="005F4759">
      <w:pPr>
        <w:pStyle w:val="a3"/>
        <w:numPr>
          <w:ilvl w:val="0"/>
          <w:numId w:val="24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m:oMath>
        <m:f>
          <m:fPr>
            <m:ctrlPr>
              <w:rPr>
                <w:rFonts w:ascii="Cambria Math" w:hAnsiTheme="minorHAnsi" w:cstheme="minorHAnsi"/>
                <w:b w:val="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101+100</m:t>
            </m:r>
            <m:r>
              <m:rPr>
                <m:sty m:val="b"/>
              </m:rPr>
              <w:rPr>
                <w:rFonts w:ascii="Cambria Math" w:hAnsi="Cambria Math" w:cstheme="minorHAnsi"/>
                <w:szCs w:val="20"/>
              </w:rPr>
              <m:t>*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</m:t>
            </m:r>
          </m:num>
          <m:den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50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-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100</m:t>
            </m:r>
            <m:r>
              <m:rPr>
                <m:sty m:val="b"/>
              </m:rPr>
              <w:rPr>
                <w:rFonts w:ascii="Cambria Math" w:hAnsi="Cambria Math" w:cstheme="minorHAnsi"/>
                <w:szCs w:val="20"/>
              </w:rPr>
              <m:t>*</m:t>
            </m:r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</m:t>
            </m:r>
          </m:den>
        </m:f>
      </m:oMath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c"/>
        <w:numPr>
          <w:ilvl w:val="0"/>
          <w:numId w:val="28"/>
        </w:numPr>
        <w:spacing w:after="120"/>
        <w:ind w:left="357" w:hanging="357"/>
        <w:jc w:val="both"/>
        <w:rPr>
          <w:rFonts w:asciiTheme="minorHAnsi" w:hAnsiTheme="minorHAnsi" w:cstheme="minorHAnsi"/>
          <w:lang w:val="el-GR"/>
        </w:rPr>
      </w:pPr>
      <w:r w:rsidRPr="00B4640F">
        <w:rPr>
          <w:rFonts w:asciiTheme="minorHAnsi" w:hAnsiTheme="minorHAnsi" w:cstheme="minorHAnsi"/>
          <w:lang w:val="el-GR"/>
        </w:rPr>
        <w:t xml:space="preserve">Συνταξιοδοτικό σχήμα όπου εφαρμόζεται η </w:t>
      </w:r>
      <w:proofErr w:type="spellStart"/>
      <w:r w:rsidRPr="00B4640F">
        <w:rPr>
          <w:rFonts w:asciiTheme="minorHAnsi" w:hAnsiTheme="minorHAnsi" w:cstheme="minorHAnsi"/>
          <w:lang w:val="el-GR"/>
        </w:rPr>
        <w:t>Unit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Pr="00B4640F">
        <w:rPr>
          <w:rFonts w:asciiTheme="minorHAnsi" w:hAnsiTheme="minorHAnsi" w:cstheme="minorHAnsi"/>
          <w:lang w:val="el-GR"/>
        </w:rPr>
        <w:t>Credit</w:t>
      </w:r>
      <w:proofErr w:type="spellEnd"/>
      <w:r w:rsidRPr="00B4640F">
        <w:rPr>
          <w:rFonts w:asciiTheme="minorHAnsi" w:hAnsiTheme="minorHAnsi" w:cstheme="minorHAnsi"/>
          <w:lang w:val="el-GR"/>
        </w:rPr>
        <w:t xml:space="preserve"> καλύπτει n άτομα με διαφορετικές σημερινές ηλικίες x</w:t>
      </w:r>
      <w:r w:rsidRPr="00B4640F">
        <w:rPr>
          <w:rFonts w:asciiTheme="minorHAnsi" w:hAnsiTheme="minorHAnsi" w:cstheme="minorHAnsi"/>
          <w:vertAlign w:val="subscript"/>
          <w:lang w:val="el-GR"/>
        </w:rPr>
        <w:t>i</w:t>
      </w:r>
      <w:r w:rsidRPr="00B4640F">
        <w:rPr>
          <w:rFonts w:asciiTheme="minorHAnsi" w:hAnsiTheme="minorHAnsi" w:cstheme="minorHAnsi"/>
          <w:lang w:val="el-GR"/>
        </w:rPr>
        <w:t>, i = 1, 2, …,n e&lt;= x</w:t>
      </w:r>
      <w:r w:rsidRPr="00B4640F">
        <w:rPr>
          <w:rFonts w:asciiTheme="minorHAnsi" w:hAnsiTheme="minorHAnsi" w:cstheme="minorHAnsi"/>
          <w:vertAlign w:val="subscript"/>
          <w:lang w:val="el-GR"/>
        </w:rPr>
        <w:t>i</w:t>
      </w:r>
      <w:r w:rsidRPr="00B4640F">
        <w:rPr>
          <w:rFonts w:asciiTheme="minorHAnsi" w:hAnsiTheme="minorHAnsi" w:cstheme="minorHAnsi"/>
          <w:lang w:val="el-GR"/>
        </w:rPr>
        <w:t xml:space="preserve"> &lt;=r . Εάν η ετήσια σύνταξη στην ηλικία r είναι ίση με 1, το κανονικό κόστος του πλάνου NC ισούται προς:</w:t>
      </w:r>
    </w:p>
    <w:p w:rsidR="005F4759" w:rsidRPr="00B4640F" w:rsidRDefault="005F4759" w:rsidP="005F4759">
      <w:pPr>
        <w:pStyle w:val="a3"/>
        <w:numPr>
          <w:ilvl w:val="0"/>
          <w:numId w:val="25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w:r w:rsidRPr="00B4640F">
        <w:rPr>
          <w:rFonts w:asciiTheme="minorHAnsi" w:hAnsiTheme="minorHAnsi" w:cstheme="minorHAnsi"/>
          <w:b w:val="0"/>
          <w:szCs w:val="20"/>
        </w:rPr>
        <w:t xml:space="preserve"> </w:t>
      </w:r>
      <w:proofErr w:type="spellStart"/>
      <w:r w:rsidRPr="00B4640F">
        <w:rPr>
          <w:rFonts w:asciiTheme="minorHAnsi" w:hAnsiTheme="minorHAnsi" w:cstheme="minorHAnsi"/>
          <w:b w:val="0"/>
          <w:szCs w:val="20"/>
        </w:rPr>
        <w:t>n*</w:t>
      </w:r>
      <w:r w:rsidRPr="00B4640F">
        <w:rPr>
          <w:rFonts w:asciiTheme="minorHAnsi" w:hAnsiTheme="minorHAnsi" w:cstheme="minorHAnsi"/>
          <w:b w:val="0"/>
          <w:szCs w:val="20"/>
          <w:vertAlign w:val="subscript"/>
        </w:rPr>
        <w:t>r</w:t>
      </w:r>
      <w:proofErr w:type="spellEnd"/>
      <w:r w:rsidRPr="00B4640F">
        <w:rPr>
          <w:rFonts w:asciiTheme="minorHAnsi" w:hAnsiTheme="minorHAnsi" w:cstheme="minorHAnsi"/>
          <w:b w:val="0"/>
          <w:szCs w:val="20"/>
          <w:vertAlign w:val="subscript"/>
        </w:rPr>
        <w:t>-x/</w:t>
      </w:r>
      <m:oMath>
        <m:acc>
          <m:accPr>
            <m:chr m:val="̈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x</m:t>
                </m:r>
              </m:sub>
            </m:sSub>
          </m:e>
        </m:acc>
      </m:oMath>
    </w:p>
    <w:p w:rsidR="005F4759" w:rsidRPr="00B4640F" w:rsidRDefault="00924C98" w:rsidP="005F4759">
      <w:pPr>
        <w:pStyle w:val="a3"/>
        <w:numPr>
          <w:ilvl w:val="0"/>
          <w:numId w:val="25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m:oMath>
        <m:acc>
          <m:accPr>
            <m:chr m:val="̈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r</m:t>
                </m:r>
              </m:sub>
            </m:sSub>
          </m:e>
        </m:acc>
      </m:oMath>
      <w:r w:rsidR="005F4759" w:rsidRPr="00B4640F">
        <w:rPr>
          <w:rFonts w:asciiTheme="minorHAnsi" w:hAnsiTheme="minorHAnsi" w:cstheme="minorHAnsi"/>
          <w:b w:val="0"/>
          <w:szCs w:val="20"/>
        </w:rPr>
        <w:t xml:space="preserve">* </w:t>
      </w:r>
      <m:oMath>
        <m:nary>
          <m:naryPr>
            <m:chr m:val="∑"/>
            <m:limLoc m:val="undOvr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naryPr>
          <m:sub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i=1</m:t>
            </m:r>
          </m:sub>
          <m:sup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n</m:t>
            </m:r>
          </m:sup>
          <m:e>
            <m:f>
              <m:f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 w:cstheme="minorHAnsi"/>
                        <w:b w:val="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Theme="minorHAnsi" w:cstheme="minorHAnsi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Cs w:val="20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e</m:t>
                </m:r>
              </m:den>
            </m:f>
          </m:e>
        </m:nary>
        <m:r>
          <m:rPr>
            <m:sty m:val="b"/>
          </m:rPr>
          <w:rPr>
            <w:rFonts w:ascii="Cambria Math" w:hAnsiTheme="minorHAnsi" w:cstheme="minorHAnsi"/>
            <w:szCs w:val="20"/>
          </w:rPr>
          <m:t xml:space="preserve"> </m:t>
        </m:r>
      </m:oMath>
    </w:p>
    <w:p w:rsidR="005F4759" w:rsidRPr="00B4640F" w:rsidRDefault="00924C98" w:rsidP="005F4759">
      <w:pPr>
        <w:pStyle w:val="a3"/>
        <w:numPr>
          <w:ilvl w:val="0"/>
          <w:numId w:val="25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</w:rPr>
      </w:pPr>
      <m:oMath>
        <m:acc>
          <m:accPr>
            <m:chr m:val="̈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r</m:t>
                </m:r>
              </m:sub>
            </m:sSub>
          </m:e>
        </m:acc>
      </m:oMath>
      <w:r w:rsidR="005F4759" w:rsidRPr="00B4640F">
        <w:rPr>
          <w:rFonts w:asciiTheme="minorHAnsi" w:hAnsiTheme="minorHAnsi" w:cstheme="minorHAnsi"/>
          <w:b w:val="0"/>
          <w:szCs w:val="20"/>
        </w:rPr>
        <w:t xml:space="preserve">* </w:t>
      </w:r>
      <m:oMath>
        <m:nary>
          <m:naryPr>
            <m:chr m:val="∑"/>
            <m:limLoc m:val="undOvr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naryPr>
          <m:sub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i=1</m:t>
            </m:r>
          </m:sub>
          <m:sup>
            <m:r>
              <m:rPr>
                <m:sty m:val="b"/>
              </m:rPr>
              <w:rPr>
                <w:rFonts w:ascii="Cambria Math" w:hAnsiTheme="minorHAnsi" w:cstheme="minorHAnsi"/>
                <w:szCs w:val="20"/>
              </w:rPr>
              <m:t>n</m:t>
            </m:r>
          </m:sup>
          <m:e>
            <m:f>
              <m:f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b w:val="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Theme="minorHAnsi" w:cstheme="minorHAnsi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Cs w:val="20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</w:rPr>
                  <m:t>e</m:t>
                </m:r>
              </m:den>
            </m:f>
          </m:e>
        </m:nary>
        <m:r>
          <m:rPr>
            <m:sty m:val="b"/>
          </m:rPr>
          <w:rPr>
            <w:rFonts w:ascii="Cambria Math" w:hAnsiTheme="minorHAnsi" w:cstheme="minorHAnsi"/>
            <w:szCs w:val="20"/>
          </w:rPr>
          <m:t xml:space="preserve"> </m:t>
        </m:r>
      </m:oMath>
    </w:p>
    <w:p w:rsidR="005F4759" w:rsidRPr="00B4640F" w:rsidRDefault="005F4759" w:rsidP="005F4759">
      <w:pPr>
        <w:pStyle w:val="a3"/>
        <w:numPr>
          <w:ilvl w:val="0"/>
          <w:numId w:val="25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  <w:lang w:val="en-US"/>
        </w:rPr>
      </w:pPr>
      <w:r w:rsidRPr="00B4640F">
        <w:rPr>
          <w:rFonts w:asciiTheme="minorHAnsi" w:hAnsiTheme="minorHAnsi" w:cstheme="minorHAnsi"/>
          <w:b w:val="0"/>
          <w:szCs w:val="20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naryPr>
          <m:sub>
            <m:r>
              <m:rPr>
                <m:sty m:val="b"/>
              </m:rPr>
              <w:rPr>
                <w:rFonts w:ascii="Cambria Math" w:hAnsiTheme="minorHAnsi" w:cstheme="minorHAnsi"/>
                <w:szCs w:val="20"/>
                <w:lang w:val="en-US"/>
              </w:rPr>
              <m:t>i=1</m:t>
            </m:r>
          </m:sub>
          <m:sup>
            <m:r>
              <m:rPr>
                <m:sty m:val="b"/>
              </m:rPr>
              <w:rPr>
                <w:rFonts w:ascii="Cambria Math" w:hAnsiTheme="minorHAnsi" w:cstheme="minorHAnsi"/>
                <w:szCs w:val="20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 w:cstheme="minorHAnsi"/>
                        <w:b w:val="0"/>
                        <w:szCs w:val="2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Theme="minorHAnsi" w:cstheme="minorHAnsi"/>
                        <w:szCs w:val="20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Cs w:val="20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e</m:t>
                </m:r>
              </m:den>
            </m:f>
          </m:e>
        </m:nary>
        <m:r>
          <m:rPr>
            <m:sty m:val="b"/>
          </m:rPr>
          <w:rPr>
            <w:rFonts w:ascii="Cambria Math" w:hAnsiTheme="minorHAnsi" w:cstheme="minorHAnsi"/>
            <w:szCs w:val="20"/>
            <w:lang w:val="en-US"/>
          </w:rPr>
          <m:t xml:space="preserve"> </m:t>
        </m:r>
      </m:oMath>
      <w:r w:rsidRPr="00B4640F">
        <w:rPr>
          <w:rFonts w:asciiTheme="minorHAnsi" w:hAnsiTheme="minorHAnsi" w:cstheme="minorHAnsi"/>
          <w:b w:val="0"/>
          <w:szCs w:val="20"/>
          <w:vertAlign w:val="subscript"/>
          <w:lang w:val="en-US"/>
        </w:rPr>
        <w:t xml:space="preserve">r-xi / </w:t>
      </w:r>
      <m:oMath>
        <m:sSub>
          <m:sSubPr>
            <m:ctrlPr>
              <w:rPr>
                <w:rFonts w:ascii="Cambria Math" w:hAnsiTheme="minorHAnsi" w:cstheme="minorHAnsi"/>
                <w:b w:val="0"/>
                <w:szCs w:val="20"/>
                <w:vertAlign w:val="subscript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Theme="minorHAnsi" w:cstheme="minorHAnsi"/>
                    <w:b w:val="0"/>
                    <w:szCs w:val="20"/>
                    <w:vertAlign w:val="subscript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vertAlign w:val="subscript"/>
                    <w:lang w:val="en-US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hAnsiTheme="minorHAnsi" w:cstheme="minorHAnsi"/>
                    <w:b w:val="0"/>
                    <w:szCs w:val="20"/>
                    <w:vertAlign w:val="subscript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vertAlign w:val="subscript"/>
                    <w:lang w:val="en-US"/>
                  </w:rPr>
                  <m:t>x</m:t>
                </m:r>
              </m:e>
              <m:sub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vertAlign w:val="subscript"/>
                    <w:lang w:val="en-US"/>
                  </w:rPr>
                  <m:t>i</m:t>
                </m:r>
              </m:sub>
            </m:sSub>
          </m:sub>
        </m:sSub>
      </m:oMath>
      <w:r w:rsidRPr="00B4640F">
        <w:rPr>
          <w:rFonts w:asciiTheme="minorHAnsi" w:hAnsiTheme="minorHAnsi" w:cstheme="minorHAnsi"/>
          <w:b w:val="0"/>
          <w:szCs w:val="20"/>
          <w:vertAlign w:val="subscript"/>
          <w:lang w:val="en-US"/>
        </w:rPr>
        <w:t xml:space="preserve"> </w:t>
      </w:r>
    </w:p>
    <w:p w:rsidR="005F4759" w:rsidRPr="00B4640F" w:rsidRDefault="00924C98" w:rsidP="005F4759">
      <w:pPr>
        <w:pStyle w:val="a3"/>
        <w:numPr>
          <w:ilvl w:val="0"/>
          <w:numId w:val="25"/>
        </w:numPr>
        <w:spacing w:before="0" w:line="276" w:lineRule="auto"/>
        <w:ind w:left="1077" w:hanging="357"/>
        <w:jc w:val="both"/>
        <w:rPr>
          <w:rFonts w:asciiTheme="minorHAnsi" w:hAnsiTheme="minorHAnsi" w:cstheme="minorHAnsi"/>
          <w:b w:val="0"/>
          <w:szCs w:val="20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Theme="minorHAnsi" w:cstheme="minorHAnsi"/>
                <w:b w:val="0"/>
                <w:szCs w:val="20"/>
              </w:rPr>
            </m:ctrlPr>
          </m:naryPr>
          <m:sub>
            <m:r>
              <m:rPr>
                <m:sty m:val="b"/>
              </m:rPr>
              <w:rPr>
                <w:rFonts w:ascii="Cambria Math" w:hAnsiTheme="minorHAnsi" w:cstheme="minorHAnsi"/>
                <w:szCs w:val="20"/>
                <w:lang w:val="en-US"/>
              </w:rPr>
              <m:t>i=1</m:t>
            </m:r>
          </m:sub>
          <m:sup>
            <m:r>
              <m:rPr>
                <m:sty m:val="b"/>
              </m:rPr>
              <w:rPr>
                <w:rFonts w:ascii="Cambria Math" w:hAnsiTheme="minorHAnsi" w:cstheme="minorHAnsi"/>
                <w:szCs w:val="20"/>
                <w:lang w:val="en-US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Theme="minorHAnsi" w:cstheme="minorHAnsi"/>
                <w:szCs w:val="20"/>
                <w:lang w:val="en-US"/>
              </w:rPr>
              <m:t>(</m:t>
            </m:r>
            <m:f>
              <m:fPr>
                <m:ctrlPr>
                  <w:rPr>
                    <w:rFonts w:ascii="Cambria Math" w:hAnsiTheme="minorHAnsi" w:cstheme="minorHAnsi"/>
                    <w:b w:val="0"/>
                    <w:szCs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r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>-</m:t>
                </m:r>
                <m:r>
                  <m:rPr>
                    <m:sty m:val="b"/>
                  </m:rPr>
                  <w:rPr>
                    <w:rFonts w:ascii="Cambria Math" w:hAnsiTheme="minorHAnsi" w:cstheme="minorHAnsi"/>
                    <w:szCs w:val="20"/>
                    <w:lang w:val="en-US"/>
                  </w:rPr>
                  <m:t xml:space="preserve">e </m:t>
                </m:r>
              </m:den>
            </m:f>
            <m:r>
              <m:rPr>
                <m:sty m:val="bi"/>
              </m:rPr>
              <w:rPr>
                <w:rFonts w:ascii="Cambria Math" w:hAnsiTheme="minorHAnsi" w:cstheme="minorHAnsi"/>
                <w:szCs w:val="20"/>
                <w:lang w:val="en-US"/>
              </w:rPr>
              <m:t>)</m:t>
            </m:r>
          </m:e>
        </m:nary>
      </m:oMath>
      <w:r w:rsidR="005F4759" w:rsidRPr="00B4640F">
        <w:rPr>
          <w:rFonts w:asciiTheme="minorHAnsi" w:hAnsiTheme="minorHAnsi" w:cstheme="minorHAnsi"/>
          <w:b w:val="0"/>
          <w:szCs w:val="20"/>
          <w:lang w:val="en-US"/>
        </w:rPr>
        <w:t xml:space="preserve"> *</w:t>
      </w:r>
      <w:r w:rsidR="005F4759" w:rsidRPr="00B4640F">
        <w:rPr>
          <w:rFonts w:asciiTheme="minorHAnsi" w:hAnsiTheme="minorHAnsi" w:cstheme="minorHAnsi"/>
          <w:b w:val="0"/>
          <w:szCs w:val="20"/>
          <w:vertAlign w:val="subscript"/>
          <w:lang w:val="en-US"/>
        </w:rPr>
        <w:t>r-xi/</w:t>
      </w:r>
      <m:oMath>
        <m:r>
          <m:rPr>
            <m:sty m:val="bi"/>
          </m:rPr>
          <w:rPr>
            <w:rFonts w:ascii="Cambria Math" w:hAnsiTheme="minorHAnsi" w:cstheme="minorHAnsi"/>
            <w:szCs w:val="20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Fonts w:ascii="Cambria Math" w:hAnsiTheme="minorHAnsi" w:cstheme="minorHAnsi"/>
            <w:szCs w:val="20"/>
            <w:lang w:val="en-US"/>
          </w:rPr>
          <m:t>(</m:t>
        </m:r>
        <m:sSub>
          <m:sSubPr>
            <m:ctrlPr>
              <w:rPr>
                <w:rFonts w:ascii="Cambria Math" w:hAnsiTheme="minorHAnsi" w:cstheme="minorHAnsi"/>
                <w:b w:val="0"/>
                <w:i/>
                <w:szCs w:val="20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Theme="minorHAnsi" w:cstheme="minorHAnsi"/>
                    <w:b w:val="0"/>
                    <w:i/>
                    <w:szCs w:val="2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Cs w:val="20"/>
                  </w:rPr>
                  <m:t>a</m:t>
                </m:r>
              </m:e>
            </m:acc>
          </m:e>
          <m:sub>
            <m:sSub>
              <m:sSubPr>
                <m:ctrlPr>
                  <w:rPr>
                    <w:rFonts w:ascii="Cambria Math" w:hAnsiTheme="minorHAnsi" w:cstheme="minorHAnsi"/>
                    <w:b w:val="0"/>
                    <w:i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Cs w:val="20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Cs w:val="20"/>
                  </w:rPr>
                  <m:t>i</m:t>
                </m:r>
              </m:sub>
            </m:sSub>
          </m:sub>
        </m:sSub>
      </m:oMath>
      <w:r w:rsidR="005F4759" w:rsidRPr="00B4640F">
        <w:rPr>
          <w:rFonts w:asciiTheme="minorHAnsi" w:hAnsiTheme="minorHAnsi" w:cstheme="minorHAnsi"/>
          <w:b w:val="0"/>
          <w:szCs w:val="20"/>
          <w:lang w:val="en-US"/>
        </w:rPr>
        <w:t xml:space="preserve">)       </w:t>
      </w:r>
    </w:p>
    <w:p w:rsidR="005F4759" w:rsidRPr="00B4640F" w:rsidRDefault="005F4759" w:rsidP="005F4759">
      <w:pPr>
        <w:pStyle w:val="a3"/>
        <w:spacing w:line="276" w:lineRule="auto"/>
        <w:ind w:left="1077"/>
        <w:jc w:val="both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  <w:r w:rsidRPr="00B4640F">
        <w:rPr>
          <w:rFonts w:asciiTheme="minorHAnsi" w:hAnsiTheme="minorHAnsi" w:cstheme="minorHAnsi"/>
          <w:b w:val="0"/>
          <w:szCs w:val="20"/>
          <w:lang w:val="en-US"/>
        </w:rPr>
        <w:t xml:space="preserve">  </w:t>
      </w:r>
    </w:p>
    <w:p w:rsidR="005F4759" w:rsidRPr="00B4640F" w:rsidRDefault="005F4759" w:rsidP="005F4759">
      <w:pPr>
        <w:pStyle w:val="a3"/>
        <w:jc w:val="center"/>
        <w:rPr>
          <w:rFonts w:asciiTheme="minorHAnsi" w:hAnsiTheme="minorHAnsi" w:cstheme="minorHAnsi"/>
          <w:b w:val="0"/>
          <w:szCs w:val="20"/>
          <w:lang w:val="en-US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p w:rsidR="005F4759" w:rsidRPr="00B4640F" w:rsidRDefault="005F4759" w:rsidP="005F4759">
      <w:pPr>
        <w:pStyle w:val="a3"/>
        <w:jc w:val="both"/>
        <w:rPr>
          <w:rFonts w:asciiTheme="minorHAnsi" w:hAnsiTheme="minorHAnsi" w:cstheme="minorHAnsi"/>
          <w:b w:val="0"/>
          <w:szCs w:val="20"/>
        </w:rPr>
      </w:pPr>
    </w:p>
    <w:sectPr w:rsidR="005F4759" w:rsidRPr="00B4640F" w:rsidSect="00B91760">
      <w:footerReference w:type="default" r:id="rId7"/>
      <w:pgSz w:w="11906" w:h="16838"/>
      <w:pgMar w:top="1667" w:right="92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BD" w:rsidRDefault="002521BD">
      <w:r>
        <w:separator/>
      </w:r>
    </w:p>
  </w:endnote>
  <w:endnote w:type="continuationSeparator" w:id="0">
    <w:p w:rsidR="002521BD" w:rsidRDefault="0025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1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58C" w:rsidRDefault="00924C98">
        <w:pPr>
          <w:pStyle w:val="a5"/>
          <w:jc w:val="right"/>
        </w:pPr>
        <w:fldSimple w:instr=" PAGE   \* MERGEFORMAT ">
          <w:r w:rsidR="00BF1F14">
            <w:rPr>
              <w:noProof/>
            </w:rPr>
            <w:t>11</w:t>
          </w:r>
        </w:fldSimple>
      </w:p>
    </w:sdtContent>
  </w:sdt>
  <w:p w:rsidR="00D2658C" w:rsidRDefault="00D265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BD" w:rsidRDefault="002521BD">
      <w:r>
        <w:separator/>
      </w:r>
    </w:p>
  </w:footnote>
  <w:footnote w:type="continuationSeparator" w:id="0">
    <w:p w:rsidR="002521BD" w:rsidRDefault="00252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10"/>
    <w:multiLevelType w:val="hybridMultilevel"/>
    <w:tmpl w:val="6DFE17C4"/>
    <w:lvl w:ilvl="0" w:tplc="80B2A1A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D14C7"/>
    <w:multiLevelType w:val="hybridMultilevel"/>
    <w:tmpl w:val="B0149FC4"/>
    <w:lvl w:ilvl="0" w:tplc="9D204B58">
      <w:start w:val="1"/>
      <w:numFmt w:val="bullet"/>
      <w:lvlText w:val="•"/>
      <w:lvlJc w:val="left"/>
      <w:pPr>
        <w:ind w:left="528" w:hanging="720"/>
      </w:pPr>
      <w:rPr>
        <w:rFonts w:ascii="Comic Sans MS" w:hAnsi="Comic Sans MS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888" w:hanging="360"/>
      </w:pPr>
    </w:lvl>
    <w:lvl w:ilvl="2" w:tplc="0408001B" w:tentative="1">
      <w:start w:val="1"/>
      <w:numFmt w:val="lowerRoman"/>
      <w:lvlText w:val="%3."/>
      <w:lvlJc w:val="right"/>
      <w:pPr>
        <w:ind w:left="1608" w:hanging="180"/>
      </w:pPr>
    </w:lvl>
    <w:lvl w:ilvl="3" w:tplc="0408000F" w:tentative="1">
      <w:start w:val="1"/>
      <w:numFmt w:val="decimal"/>
      <w:lvlText w:val="%4."/>
      <w:lvlJc w:val="left"/>
      <w:pPr>
        <w:ind w:left="2328" w:hanging="360"/>
      </w:pPr>
    </w:lvl>
    <w:lvl w:ilvl="4" w:tplc="04080019" w:tentative="1">
      <w:start w:val="1"/>
      <w:numFmt w:val="lowerLetter"/>
      <w:lvlText w:val="%5."/>
      <w:lvlJc w:val="left"/>
      <w:pPr>
        <w:ind w:left="3048" w:hanging="360"/>
      </w:pPr>
    </w:lvl>
    <w:lvl w:ilvl="5" w:tplc="0408001B" w:tentative="1">
      <w:start w:val="1"/>
      <w:numFmt w:val="lowerRoman"/>
      <w:lvlText w:val="%6."/>
      <w:lvlJc w:val="right"/>
      <w:pPr>
        <w:ind w:left="3768" w:hanging="180"/>
      </w:pPr>
    </w:lvl>
    <w:lvl w:ilvl="6" w:tplc="0408000F" w:tentative="1">
      <w:start w:val="1"/>
      <w:numFmt w:val="decimal"/>
      <w:lvlText w:val="%7."/>
      <w:lvlJc w:val="left"/>
      <w:pPr>
        <w:ind w:left="4488" w:hanging="360"/>
      </w:pPr>
    </w:lvl>
    <w:lvl w:ilvl="7" w:tplc="04080019" w:tentative="1">
      <w:start w:val="1"/>
      <w:numFmt w:val="lowerLetter"/>
      <w:lvlText w:val="%8."/>
      <w:lvlJc w:val="left"/>
      <w:pPr>
        <w:ind w:left="5208" w:hanging="360"/>
      </w:pPr>
    </w:lvl>
    <w:lvl w:ilvl="8" w:tplc="0408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2">
    <w:nsid w:val="02603FB0"/>
    <w:multiLevelType w:val="hybridMultilevel"/>
    <w:tmpl w:val="CB4A67B6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56457"/>
    <w:multiLevelType w:val="multilevel"/>
    <w:tmpl w:val="6A0A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73065"/>
    <w:multiLevelType w:val="hybridMultilevel"/>
    <w:tmpl w:val="A85085DE"/>
    <w:lvl w:ilvl="0" w:tplc="E5D84D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180F"/>
    <w:multiLevelType w:val="hybridMultilevel"/>
    <w:tmpl w:val="66403DD6"/>
    <w:lvl w:ilvl="0" w:tplc="9A1A7F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765F13"/>
    <w:multiLevelType w:val="hybridMultilevel"/>
    <w:tmpl w:val="2ADCAB2E"/>
    <w:lvl w:ilvl="0" w:tplc="0DD8814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F7534C"/>
    <w:multiLevelType w:val="hybridMultilevel"/>
    <w:tmpl w:val="91F4E0F0"/>
    <w:lvl w:ilvl="0" w:tplc="7102C9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2922"/>
    <w:multiLevelType w:val="hybridMultilevel"/>
    <w:tmpl w:val="32B83364"/>
    <w:lvl w:ilvl="0" w:tplc="18D4F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57932"/>
    <w:multiLevelType w:val="multilevel"/>
    <w:tmpl w:val="4B24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18523B"/>
    <w:multiLevelType w:val="hybridMultilevel"/>
    <w:tmpl w:val="F1FE3E68"/>
    <w:lvl w:ilvl="0" w:tplc="52727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C1891"/>
    <w:multiLevelType w:val="hybridMultilevel"/>
    <w:tmpl w:val="2AA8C95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60BAE"/>
    <w:multiLevelType w:val="hybridMultilevel"/>
    <w:tmpl w:val="95821F08"/>
    <w:lvl w:ilvl="0" w:tplc="78C4635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C55A69"/>
    <w:multiLevelType w:val="hybridMultilevel"/>
    <w:tmpl w:val="61A20AE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D94601"/>
    <w:multiLevelType w:val="hybridMultilevel"/>
    <w:tmpl w:val="CFDA76B4"/>
    <w:lvl w:ilvl="0" w:tplc="9D74F9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C75C7"/>
    <w:multiLevelType w:val="hybridMultilevel"/>
    <w:tmpl w:val="75BC21B6"/>
    <w:lvl w:ilvl="0" w:tplc="36385A2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515A54"/>
    <w:multiLevelType w:val="hybridMultilevel"/>
    <w:tmpl w:val="082494F6"/>
    <w:lvl w:ilvl="0" w:tplc="2E48EA2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F5C"/>
    <w:multiLevelType w:val="hybridMultilevel"/>
    <w:tmpl w:val="607ABBA8"/>
    <w:lvl w:ilvl="0" w:tplc="0408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B3FF8"/>
    <w:multiLevelType w:val="hybridMultilevel"/>
    <w:tmpl w:val="65561414"/>
    <w:lvl w:ilvl="0" w:tplc="8B665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D5509"/>
    <w:multiLevelType w:val="hybridMultilevel"/>
    <w:tmpl w:val="1682BB4E"/>
    <w:lvl w:ilvl="0" w:tplc="ACC204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D4733"/>
    <w:multiLevelType w:val="hybridMultilevel"/>
    <w:tmpl w:val="2B40C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80A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0062C0E">
      <w:start w:val="5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A230D1"/>
    <w:multiLevelType w:val="hybridMultilevel"/>
    <w:tmpl w:val="F27AFD7C"/>
    <w:lvl w:ilvl="0" w:tplc="9D204B58">
      <w:start w:val="1"/>
      <w:numFmt w:val="bullet"/>
      <w:lvlText w:val="•"/>
      <w:lvlJc w:val="left"/>
      <w:pPr>
        <w:ind w:left="1440" w:hanging="360"/>
      </w:pPr>
      <w:rPr>
        <w:rFonts w:ascii="Comic Sans MS" w:hAnsi="Comic Sans M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A52E83"/>
    <w:multiLevelType w:val="hybridMultilevel"/>
    <w:tmpl w:val="3EB04B7E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F864F2"/>
    <w:multiLevelType w:val="hybridMultilevel"/>
    <w:tmpl w:val="D51A0428"/>
    <w:lvl w:ilvl="0" w:tplc="624A3BE6">
      <w:start w:val="1"/>
      <w:numFmt w:val="upp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28C9"/>
    <w:multiLevelType w:val="hybridMultilevel"/>
    <w:tmpl w:val="A8E6099E"/>
    <w:lvl w:ilvl="0" w:tplc="602045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8F229C"/>
    <w:multiLevelType w:val="hybridMultilevel"/>
    <w:tmpl w:val="5156CEFC"/>
    <w:lvl w:ilvl="0" w:tplc="DEB691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D941A6"/>
    <w:multiLevelType w:val="hybridMultilevel"/>
    <w:tmpl w:val="9F6C6D98"/>
    <w:lvl w:ilvl="0" w:tplc="C2968DD4">
      <w:start w:val="2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4135E71"/>
    <w:multiLevelType w:val="hybridMultilevel"/>
    <w:tmpl w:val="4CAE2E86"/>
    <w:lvl w:ilvl="0" w:tplc="1B44454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48884016"/>
    <w:multiLevelType w:val="hybridMultilevel"/>
    <w:tmpl w:val="BE9E48BE"/>
    <w:lvl w:ilvl="0" w:tplc="E966AB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F320D"/>
    <w:multiLevelType w:val="multilevel"/>
    <w:tmpl w:val="2B663B6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AD22981"/>
    <w:multiLevelType w:val="hybridMultilevel"/>
    <w:tmpl w:val="EE42FA18"/>
    <w:lvl w:ilvl="0" w:tplc="D45419AE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D1D3A"/>
    <w:multiLevelType w:val="hybridMultilevel"/>
    <w:tmpl w:val="E1482A38"/>
    <w:lvl w:ilvl="0" w:tplc="624A3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E5399"/>
    <w:multiLevelType w:val="hybridMultilevel"/>
    <w:tmpl w:val="CC2E8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84ADC"/>
    <w:multiLevelType w:val="hybridMultilevel"/>
    <w:tmpl w:val="62BE7AD6"/>
    <w:lvl w:ilvl="0" w:tplc="FB14C8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A13197"/>
    <w:multiLevelType w:val="hybridMultilevel"/>
    <w:tmpl w:val="5D40E26C"/>
    <w:lvl w:ilvl="0" w:tplc="C5388A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B75B64"/>
    <w:multiLevelType w:val="hybridMultilevel"/>
    <w:tmpl w:val="8F2AA7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B96D19"/>
    <w:multiLevelType w:val="hybridMultilevel"/>
    <w:tmpl w:val="64BAD386"/>
    <w:lvl w:ilvl="0" w:tplc="624A3BE6">
      <w:start w:val="1"/>
      <w:numFmt w:val="upp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356C14"/>
    <w:multiLevelType w:val="hybridMultilevel"/>
    <w:tmpl w:val="0DA0F0EE"/>
    <w:lvl w:ilvl="0" w:tplc="624A3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2E4BD4"/>
    <w:multiLevelType w:val="hybridMultilevel"/>
    <w:tmpl w:val="F01AB9A4"/>
    <w:lvl w:ilvl="0" w:tplc="5B646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730A4A"/>
    <w:multiLevelType w:val="hybridMultilevel"/>
    <w:tmpl w:val="F01AB9A4"/>
    <w:lvl w:ilvl="0" w:tplc="D228E4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46314"/>
    <w:multiLevelType w:val="hybridMultilevel"/>
    <w:tmpl w:val="4B2436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D679DC"/>
    <w:multiLevelType w:val="hybridMultilevel"/>
    <w:tmpl w:val="646AA9AE"/>
    <w:lvl w:ilvl="0" w:tplc="89842F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E1144"/>
    <w:multiLevelType w:val="hybridMultilevel"/>
    <w:tmpl w:val="1CC070D2"/>
    <w:lvl w:ilvl="0" w:tplc="432A2B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C70A0"/>
    <w:multiLevelType w:val="hybridMultilevel"/>
    <w:tmpl w:val="13726ABC"/>
    <w:lvl w:ilvl="0" w:tplc="4EDA83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31174"/>
    <w:multiLevelType w:val="hybridMultilevel"/>
    <w:tmpl w:val="33141410"/>
    <w:lvl w:ilvl="0" w:tplc="624A3B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BE18F6"/>
    <w:multiLevelType w:val="hybridMultilevel"/>
    <w:tmpl w:val="72080176"/>
    <w:lvl w:ilvl="0" w:tplc="4C9ED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7211E"/>
    <w:multiLevelType w:val="hybridMultilevel"/>
    <w:tmpl w:val="853E2A08"/>
    <w:lvl w:ilvl="0" w:tplc="9C0024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9844E6"/>
    <w:multiLevelType w:val="hybridMultilevel"/>
    <w:tmpl w:val="F9805196"/>
    <w:lvl w:ilvl="0" w:tplc="D854BB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35"/>
  </w:num>
  <w:num w:numId="5">
    <w:abstractNumId w:val="39"/>
  </w:num>
  <w:num w:numId="6">
    <w:abstractNumId w:val="38"/>
  </w:num>
  <w:num w:numId="7">
    <w:abstractNumId w:val="40"/>
  </w:num>
  <w:num w:numId="8">
    <w:abstractNumId w:val="18"/>
  </w:num>
  <w:num w:numId="9">
    <w:abstractNumId w:val="20"/>
  </w:num>
  <w:num w:numId="10">
    <w:abstractNumId w:val="3"/>
  </w:num>
  <w:num w:numId="11">
    <w:abstractNumId w:val="9"/>
  </w:num>
  <w:num w:numId="12">
    <w:abstractNumId w:val="24"/>
  </w:num>
  <w:num w:numId="13">
    <w:abstractNumId w:val="22"/>
  </w:num>
  <w:num w:numId="14">
    <w:abstractNumId w:val="37"/>
  </w:num>
  <w:num w:numId="15">
    <w:abstractNumId w:val="15"/>
  </w:num>
  <w:num w:numId="16">
    <w:abstractNumId w:val="25"/>
  </w:num>
  <w:num w:numId="17">
    <w:abstractNumId w:val="10"/>
  </w:num>
  <w:num w:numId="18">
    <w:abstractNumId w:val="36"/>
  </w:num>
  <w:num w:numId="19">
    <w:abstractNumId w:val="45"/>
  </w:num>
  <w:num w:numId="20">
    <w:abstractNumId w:val="43"/>
  </w:num>
  <w:num w:numId="21">
    <w:abstractNumId w:val="2"/>
  </w:num>
  <w:num w:numId="22">
    <w:abstractNumId w:val="17"/>
  </w:num>
  <w:num w:numId="23">
    <w:abstractNumId w:val="30"/>
  </w:num>
  <w:num w:numId="24">
    <w:abstractNumId w:val="44"/>
  </w:num>
  <w:num w:numId="25">
    <w:abstractNumId w:val="7"/>
  </w:num>
  <w:num w:numId="26">
    <w:abstractNumId w:val="5"/>
  </w:num>
  <w:num w:numId="27">
    <w:abstractNumId w:val="16"/>
  </w:num>
  <w:num w:numId="28">
    <w:abstractNumId w:val="26"/>
  </w:num>
  <w:num w:numId="29">
    <w:abstractNumId w:val="23"/>
  </w:num>
  <w:num w:numId="30">
    <w:abstractNumId w:val="4"/>
  </w:num>
  <w:num w:numId="31">
    <w:abstractNumId w:val="28"/>
  </w:num>
  <w:num w:numId="32">
    <w:abstractNumId w:val="31"/>
  </w:num>
  <w:num w:numId="33">
    <w:abstractNumId w:val="33"/>
  </w:num>
  <w:num w:numId="34">
    <w:abstractNumId w:val="47"/>
  </w:num>
  <w:num w:numId="35">
    <w:abstractNumId w:val="19"/>
  </w:num>
  <w:num w:numId="36">
    <w:abstractNumId w:val="34"/>
  </w:num>
  <w:num w:numId="37">
    <w:abstractNumId w:val="46"/>
  </w:num>
  <w:num w:numId="38">
    <w:abstractNumId w:val="6"/>
  </w:num>
  <w:num w:numId="39">
    <w:abstractNumId w:val="42"/>
  </w:num>
  <w:num w:numId="40">
    <w:abstractNumId w:val="14"/>
  </w:num>
  <w:num w:numId="41">
    <w:abstractNumId w:val="41"/>
  </w:num>
  <w:num w:numId="42">
    <w:abstractNumId w:val="12"/>
  </w:num>
  <w:num w:numId="43">
    <w:abstractNumId w:val="0"/>
  </w:num>
  <w:num w:numId="44">
    <w:abstractNumId w:val="32"/>
  </w:num>
  <w:num w:numId="45">
    <w:abstractNumId w:val="1"/>
  </w:num>
  <w:num w:numId="46">
    <w:abstractNumId w:val="13"/>
  </w:num>
  <w:num w:numId="47">
    <w:abstractNumId w:val="21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9458" fill="f" fillcolor="white" stroke="f">
      <v:fill color="white" on="f"/>
      <v:stroke on="f"/>
      <o:colormru v:ext="edit" colors="#f30,#ffb6a5,#ffc,#bbf,#fb7563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0ECD"/>
    <w:rsid w:val="00052ED3"/>
    <w:rsid w:val="00061EF5"/>
    <w:rsid w:val="00070BAD"/>
    <w:rsid w:val="000B669F"/>
    <w:rsid w:val="000F2305"/>
    <w:rsid w:val="000F4D06"/>
    <w:rsid w:val="00123EAF"/>
    <w:rsid w:val="00132724"/>
    <w:rsid w:val="001502C4"/>
    <w:rsid w:val="00150347"/>
    <w:rsid w:val="00174F51"/>
    <w:rsid w:val="00175703"/>
    <w:rsid w:val="00176937"/>
    <w:rsid w:val="00177F19"/>
    <w:rsid w:val="00182DF0"/>
    <w:rsid w:val="00196C37"/>
    <w:rsid w:val="002117B9"/>
    <w:rsid w:val="0022107A"/>
    <w:rsid w:val="0022630C"/>
    <w:rsid w:val="00230BAC"/>
    <w:rsid w:val="002521BD"/>
    <w:rsid w:val="00255551"/>
    <w:rsid w:val="00261BE5"/>
    <w:rsid w:val="00263837"/>
    <w:rsid w:val="0026651C"/>
    <w:rsid w:val="00276D6E"/>
    <w:rsid w:val="002849DB"/>
    <w:rsid w:val="002961A0"/>
    <w:rsid w:val="002A2521"/>
    <w:rsid w:val="002D021D"/>
    <w:rsid w:val="002E3235"/>
    <w:rsid w:val="002F5AD3"/>
    <w:rsid w:val="00303D5C"/>
    <w:rsid w:val="00317F50"/>
    <w:rsid w:val="003462F8"/>
    <w:rsid w:val="00386C8A"/>
    <w:rsid w:val="00394E01"/>
    <w:rsid w:val="003B20F8"/>
    <w:rsid w:val="003B5532"/>
    <w:rsid w:val="003E0C6F"/>
    <w:rsid w:val="00403AF2"/>
    <w:rsid w:val="004060F7"/>
    <w:rsid w:val="00417A64"/>
    <w:rsid w:val="0042078B"/>
    <w:rsid w:val="00426D04"/>
    <w:rsid w:val="00462761"/>
    <w:rsid w:val="00484091"/>
    <w:rsid w:val="004A5E5B"/>
    <w:rsid w:val="004A60DA"/>
    <w:rsid w:val="004A6B59"/>
    <w:rsid w:val="004C4254"/>
    <w:rsid w:val="004C44FA"/>
    <w:rsid w:val="004F050A"/>
    <w:rsid w:val="004F457A"/>
    <w:rsid w:val="004F6204"/>
    <w:rsid w:val="00544DA8"/>
    <w:rsid w:val="005551B0"/>
    <w:rsid w:val="00561201"/>
    <w:rsid w:val="00570F05"/>
    <w:rsid w:val="005A5028"/>
    <w:rsid w:val="005D7861"/>
    <w:rsid w:val="005F4759"/>
    <w:rsid w:val="005F4873"/>
    <w:rsid w:val="00605618"/>
    <w:rsid w:val="00607A47"/>
    <w:rsid w:val="006224D8"/>
    <w:rsid w:val="00624FC5"/>
    <w:rsid w:val="006564EC"/>
    <w:rsid w:val="00656C9F"/>
    <w:rsid w:val="00666F50"/>
    <w:rsid w:val="00686047"/>
    <w:rsid w:val="006B23F8"/>
    <w:rsid w:val="006C026D"/>
    <w:rsid w:val="006F71DB"/>
    <w:rsid w:val="00720B0D"/>
    <w:rsid w:val="007512E9"/>
    <w:rsid w:val="00791528"/>
    <w:rsid w:val="00792DF9"/>
    <w:rsid w:val="007A1B14"/>
    <w:rsid w:val="007B08EA"/>
    <w:rsid w:val="007F42CB"/>
    <w:rsid w:val="00825258"/>
    <w:rsid w:val="008258F8"/>
    <w:rsid w:val="00845593"/>
    <w:rsid w:val="008552D1"/>
    <w:rsid w:val="00870379"/>
    <w:rsid w:val="00884E48"/>
    <w:rsid w:val="008956C9"/>
    <w:rsid w:val="008B710B"/>
    <w:rsid w:val="008C0B71"/>
    <w:rsid w:val="008D2F5E"/>
    <w:rsid w:val="008E37C4"/>
    <w:rsid w:val="008E5015"/>
    <w:rsid w:val="008E6BC0"/>
    <w:rsid w:val="008F21AE"/>
    <w:rsid w:val="00901E43"/>
    <w:rsid w:val="00914EF6"/>
    <w:rsid w:val="00924C98"/>
    <w:rsid w:val="00927DBF"/>
    <w:rsid w:val="00960DE0"/>
    <w:rsid w:val="00964FEA"/>
    <w:rsid w:val="00975C50"/>
    <w:rsid w:val="00976E99"/>
    <w:rsid w:val="009A0D4E"/>
    <w:rsid w:val="009B3DC6"/>
    <w:rsid w:val="009C032D"/>
    <w:rsid w:val="009D47B0"/>
    <w:rsid w:val="00A14876"/>
    <w:rsid w:val="00A20FF9"/>
    <w:rsid w:val="00A31A99"/>
    <w:rsid w:val="00A35B25"/>
    <w:rsid w:val="00A40B81"/>
    <w:rsid w:val="00A43EB7"/>
    <w:rsid w:val="00A67820"/>
    <w:rsid w:val="00A92223"/>
    <w:rsid w:val="00AA0ECD"/>
    <w:rsid w:val="00AD7F32"/>
    <w:rsid w:val="00AE38CF"/>
    <w:rsid w:val="00AF333B"/>
    <w:rsid w:val="00AF5668"/>
    <w:rsid w:val="00B07AB8"/>
    <w:rsid w:val="00B27A37"/>
    <w:rsid w:val="00B27D69"/>
    <w:rsid w:val="00B4640F"/>
    <w:rsid w:val="00B55EDC"/>
    <w:rsid w:val="00B60B85"/>
    <w:rsid w:val="00B714B9"/>
    <w:rsid w:val="00B91760"/>
    <w:rsid w:val="00BC1706"/>
    <w:rsid w:val="00BE0C02"/>
    <w:rsid w:val="00BE72F3"/>
    <w:rsid w:val="00BF1F14"/>
    <w:rsid w:val="00C0248F"/>
    <w:rsid w:val="00C02D39"/>
    <w:rsid w:val="00C065B5"/>
    <w:rsid w:val="00C22EDB"/>
    <w:rsid w:val="00C545C9"/>
    <w:rsid w:val="00C65344"/>
    <w:rsid w:val="00C73B79"/>
    <w:rsid w:val="00CB1BD5"/>
    <w:rsid w:val="00CC123A"/>
    <w:rsid w:val="00CE21B2"/>
    <w:rsid w:val="00CF0371"/>
    <w:rsid w:val="00CF3AA8"/>
    <w:rsid w:val="00D057FF"/>
    <w:rsid w:val="00D170AF"/>
    <w:rsid w:val="00D17F24"/>
    <w:rsid w:val="00D26150"/>
    <w:rsid w:val="00D2658C"/>
    <w:rsid w:val="00D360EA"/>
    <w:rsid w:val="00D6388F"/>
    <w:rsid w:val="00D800E4"/>
    <w:rsid w:val="00D8186D"/>
    <w:rsid w:val="00D9206D"/>
    <w:rsid w:val="00DA04B2"/>
    <w:rsid w:val="00DA7BC7"/>
    <w:rsid w:val="00DC1E34"/>
    <w:rsid w:val="00DD1CB8"/>
    <w:rsid w:val="00DD77BE"/>
    <w:rsid w:val="00DF3000"/>
    <w:rsid w:val="00E164AD"/>
    <w:rsid w:val="00E22A04"/>
    <w:rsid w:val="00E253F5"/>
    <w:rsid w:val="00E3390A"/>
    <w:rsid w:val="00EA3E40"/>
    <w:rsid w:val="00EB5610"/>
    <w:rsid w:val="00EC12F6"/>
    <w:rsid w:val="00EC7825"/>
    <w:rsid w:val="00EE1942"/>
    <w:rsid w:val="00F03BD2"/>
    <w:rsid w:val="00F10567"/>
    <w:rsid w:val="00F30A67"/>
    <w:rsid w:val="00F35DB3"/>
    <w:rsid w:val="00F4373F"/>
    <w:rsid w:val="00F6493C"/>
    <w:rsid w:val="00F657ED"/>
    <w:rsid w:val="00F7701A"/>
    <w:rsid w:val="00F83581"/>
    <w:rsid w:val="00F96383"/>
    <w:rsid w:val="00FB3126"/>
    <w:rsid w:val="00FD7FB7"/>
    <w:rsid w:val="00FE5A9D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="f" fillcolor="white" stroke="f">
      <v:fill color="white" on="f"/>
      <v:stroke on="f"/>
      <o:colormru v:ext="edit" colors="#f30,#ffb6a5,#ffc,#bbf,#fb756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2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26150"/>
    <w:pPr>
      <w:keepNext/>
      <w:spacing w:before="120" w:after="120"/>
      <w:outlineLvl w:val="0"/>
    </w:pPr>
    <w:rPr>
      <w:rFonts w:ascii="Arial" w:hAnsi="Arial" w:cs="Arial"/>
      <w:b/>
      <w:bCs/>
      <w:sz w:val="20"/>
      <w:lang w:val="el-GR"/>
    </w:rPr>
  </w:style>
  <w:style w:type="paragraph" w:styleId="2">
    <w:name w:val="heading 2"/>
    <w:basedOn w:val="a"/>
    <w:next w:val="a"/>
    <w:qFormat/>
    <w:rsid w:val="00D26150"/>
    <w:pPr>
      <w:keepNext/>
      <w:spacing w:before="120" w:after="120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6150"/>
    <w:pPr>
      <w:spacing w:before="120" w:after="120"/>
    </w:pPr>
    <w:rPr>
      <w:rFonts w:ascii="Arial" w:hAnsi="Arial" w:cs="Arial"/>
      <w:b/>
      <w:bCs/>
      <w:sz w:val="20"/>
      <w:lang w:val="el-GR"/>
    </w:rPr>
  </w:style>
  <w:style w:type="paragraph" w:styleId="a4">
    <w:name w:val="header"/>
    <w:basedOn w:val="a"/>
    <w:link w:val="Char0"/>
    <w:rsid w:val="00D2615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D2615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26150"/>
  </w:style>
  <w:style w:type="paragraph" w:styleId="20">
    <w:name w:val="Body Text 2"/>
    <w:basedOn w:val="a"/>
    <w:rsid w:val="00D26150"/>
    <w:rPr>
      <w:rFonts w:ascii="Arial" w:hAnsi="Arial" w:cs="Arial"/>
      <w:sz w:val="22"/>
      <w:lang w:val="el-GR"/>
    </w:rPr>
  </w:style>
  <w:style w:type="paragraph" w:styleId="3">
    <w:name w:val="Body Text 3"/>
    <w:basedOn w:val="a"/>
    <w:rsid w:val="00D26150"/>
    <w:pPr>
      <w:spacing w:before="120" w:after="120"/>
      <w:jc w:val="both"/>
    </w:pPr>
    <w:rPr>
      <w:rFonts w:ascii="Arial" w:hAnsi="Arial" w:cs="Arial"/>
      <w:sz w:val="20"/>
      <w:lang w:val="el-GR"/>
    </w:rPr>
  </w:style>
  <w:style w:type="table" w:styleId="a7">
    <w:name w:val="Table Grid"/>
    <w:basedOn w:val="a1"/>
    <w:uiPriority w:val="59"/>
    <w:rsid w:val="00AA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4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Emphasis"/>
    <w:basedOn w:val="a0"/>
    <w:qFormat/>
    <w:rsid w:val="00884E48"/>
    <w:rPr>
      <w:i/>
      <w:iCs/>
    </w:rPr>
  </w:style>
  <w:style w:type="paragraph" w:styleId="aa">
    <w:name w:val="endnote text"/>
    <w:basedOn w:val="a"/>
    <w:link w:val="Char2"/>
    <w:rsid w:val="005F4759"/>
    <w:rPr>
      <w:sz w:val="20"/>
      <w:szCs w:val="20"/>
      <w:lang w:eastAsia="zh-CN"/>
    </w:rPr>
  </w:style>
  <w:style w:type="character" w:customStyle="1" w:styleId="Char2">
    <w:name w:val="Κείμενο σημείωσης τέλους Char"/>
    <w:basedOn w:val="a0"/>
    <w:link w:val="aa"/>
    <w:rsid w:val="005F4759"/>
    <w:rPr>
      <w:lang w:val="en-GB" w:eastAsia="zh-CN"/>
    </w:rPr>
  </w:style>
  <w:style w:type="character" w:customStyle="1" w:styleId="Char">
    <w:name w:val="Σώμα κειμένου Char"/>
    <w:link w:val="a3"/>
    <w:rsid w:val="005F4759"/>
    <w:rPr>
      <w:rFonts w:ascii="Arial" w:hAnsi="Arial" w:cs="Arial"/>
      <w:b/>
      <w:bCs/>
      <w:szCs w:val="24"/>
      <w:lang w:eastAsia="en-US"/>
    </w:rPr>
  </w:style>
  <w:style w:type="paragraph" w:styleId="ab">
    <w:name w:val="Balloon Text"/>
    <w:basedOn w:val="a"/>
    <w:link w:val="Char3"/>
    <w:rsid w:val="005F4759"/>
    <w:rPr>
      <w:rFonts w:ascii="Tahoma" w:hAnsi="Tahoma" w:cs="Tahoma"/>
      <w:sz w:val="16"/>
      <w:szCs w:val="16"/>
      <w:lang w:eastAsia="zh-CN"/>
    </w:rPr>
  </w:style>
  <w:style w:type="character" w:customStyle="1" w:styleId="Char3">
    <w:name w:val="Κείμενο πλαισίου Char"/>
    <w:basedOn w:val="a0"/>
    <w:link w:val="ab"/>
    <w:rsid w:val="005F4759"/>
    <w:rPr>
      <w:rFonts w:ascii="Tahoma" w:hAnsi="Tahoma" w:cs="Tahoma"/>
      <w:sz w:val="16"/>
      <w:szCs w:val="16"/>
      <w:lang w:val="en-GB" w:eastAsia="zh-CN"/>
    </w:rPr>
  </w:style>
  <w:style w:type="paragraph" w:styleId="ac">
    <w:name w:val="List Paragraph"/>
    <w:basedOn w:val="a"/>
    <w:uiPriority w:val="34"/>
    <w:qFormat/>
    <w:rsid w:val="005F4759"/>
    <w:pPr>
      <w:ind w:left="720"/>
      <w:contextualSpacing/>
    </w:pPr>
    <w:rPr>
      <w:sz w:val="20"/>
      <w:szCs w:val="20"/>
      <w:lang w:eastAsia="zh-CN"/>
    </w:rPr>
  </w:style>
  <w:style w:type="character" w:styleId="ad">
    <w:name w:val="Placeholder Text"/>
    <w:basedOn w:val="a0"/>
    <w:uiPriority w:val="99"/>
    <w:semiHidden/>
    <w:rsid w:val="005F4759"/>
    <w:rPr>
      <w:color w:val="808080"/>
    </w:rPr>
  </w:style>
  <w:style w:type="character" w:customStyle="1" w:styleId="Char1">
    <w:name w:val="Υποσέλιδο Char"/>
    <w:basedOn w:val="a0"/>
    <w:link w:val="a5"/>
    <w:uiPriority w:val="99"/>
    <w:rsid w:val="005F4759"/>
    <w:rPr>
      <w:sz w:val="24"/>
      <w:szCs w:val="24"/>
      <w:lang w:val="en-GB" w:eastAsia="en-US"/>
    </w:rPr>
  </w:style>
  <w:style w:type="character" w:customStyle="1" w:styleId="Char0">
    <w:name w:val="Κεφαλίδα Char"/>
    <w:basedOn w:val="a0"/>
    <w:link w:val="a4"/>
    <w:rsid w:val="005F475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1878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ΚΩΔ</vt:lpstr>
      <vt:lpstr>ΚΩΔ</vt:lpstr>
    </vt:vector>
  </TitlesOfParts>
  <Company>cs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</dc:title>
  <dc:creator>papakon</dc:creator>
  <cp:lastModifiedBy>m.papamichael</cp:lastModifiedBy>
  <cp:revision>5</cp:revision>
  <cp:lastPrinted>2015-07-02T12:26:00Z</cp:lastPrinted>
  <dcterms:created xsi:type="dcterms:W3CDTF">2015-11-24T10:09:00Z</dcterms:created>
  <dcterms:modified xsi:type="dcterms:W3CDTF">2015-11-25T12:33:00Z</dcterms:modified>
</cp:coreProperties>
</file>